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Variables and inference: an interpretive guide</w:t>
      </w:r>
    </w:p>
    <w:p>
      <w:r>
        <w:t>Methodological notes for the Election Forensics R Toolkit, descriptive statistics v0.3.0. Illustrative values are fictional unless expressly described otherwise. The accompanying election reports contain calculations on the actual 2017 and 2022 RZS workbooks.</w:t>
      </w:r>
    </w:p>
    <w:p>
      <w:pPr>
        <w:pStyle w:val="Heading1"/>
      </w:pPr>
      <w:r>
        <w:t>1. Scope, observation and denominators</w:t>
      </w:r>
    </w:p>
    <w:p>
      <w:pPr>
        <w:pStyle w:val="Heading2"/>
      </w:pPr>
      <w:r>
        <w:t>Definition and use</w:t>
      </w:r>
    </w:p>
    <w:p>
      <w:r>
        <w:t>The elementary observation is an official polling-station record. Administrative district and municipality summaries are formed using district codes and the joint district–municipality identifier, respectively. A municipality name alone is not a unique key. The official source is preserved in the preparation-module Master worksheet; Main contains stations eligible for the primary forensic sample. The descriptive category All combines Main with stations having fewer than 100 registered voters that satisfy all other preparation QC rules. Excluded administrative or inconsistent records remain excluded.</w:t>
      </w:r>
    </w:p>
    <w:p>
      <w:pPr>
        <w:pStyle w:val="Heading2"/>
      </w:pPr>
      <w:r>
        <w:t>Illustrative interpretation</w:t>
      </w:r>
    </w:p>
    <w:p>
      <w:r>
        <w:t>Illustration: 8,000 Main stations plus 350 verified under-100 stations produce 8,350 in All; it is wrong to call this all 8,400 official records. Country-level turnout calculated from summed counts is not necessarily the same as the mean of station turnouts.</w:t>
      </w:r>
    </w:p>
    <w:p>
      <w:pPr>
        <w:pStyle w:val="Heading2"/>
      </w:pPr>
      <w:r>
        <w:t>Alternative explanations and verification</w:t>
      </w:r>
    </w:p>
    <w:p>
      <w:r>
        <w:t>The differences in sample counts are selection decisions, not suspicious election outcomes. Inspect excluded-station reason codes, locality, administrative status and original protocols when atypical exclusions cluster.</w:t>
      </w:r>
    </w:p>
    <w:p>
      <w:pPr>
        <w:pStyle w:val="Heading1"/>
      </w:pPr>
      <w:r>
        <w:t>2. Registered voters (E), attendance (A), ballots cast (C), valid (B), invalid (I)</w:t>
      </w:r>
    </w:p>
    <w:p>
      <w:pPr>
        <w:pStyle w:val="Heading2"/>
      </w:pPr>
      <w:r>
        <w:t>Definition and use</w:t>
      </w:r>
    </w:p>
    <w:p>
      <w:r>
        <w:t>E is the official register count. A denotes recorded attendance, C ballots in boxes, B valid and I invalid ballots. Identity C = B + I should hold for accepted records. Registered voters and ballots are counts, not percentages. Their geographical sums may differ from official national totals because the analytical sample intentionally omits some records.</w:t>
      </w:r>
    </w:p>
    <w:p>
      <w:pPr>
        <w:pStyle w:val="Heading2"/>
      </w:pPr>
      <w:r>
        <w:t>Illustrative interpretation</w:t>
      </w:r>
    </w:p>
    <w:p>
      <w:r>
        <w:t>Example: E=1,000, A=625, C=620, B=608, I=12. Turnout=62.00%, recorded attendance=62.50%, invalid share among cast ballots=1.94%, valid ballots per registered=60.80%. A–C=5 is an administrative reconciliation difference, not five invalid ballots.</w:t>
      </w:r>
    </w:p>
    <w:p>
      <w:pPr>
        <w:pStyle w:val="Heading2"/>
      </w:pPr>
      <w:r>
        <w:t>Alternative explanations and verification</w:t>
      </w:r>
    </w:p>
    <w:p>
      <w:r>
        <w:t>High invalid-ballot shares can reflect voter confusion, complex ballot papers, protest votes or counting error. Inspect ballot design, observer notes and reconciliation protocols before assigning significance.</w:t>
      </w:r>
    </w:p>
    <w:p>
      <w:pPr>
        <w:pStyle w:val="Heading1"/>
      </w:pPr>
      <w:r>
        <w:t>3. Turnout_pct, Attendance_pct, Valid_per_registered_pct, Invalid_per_cast_pct</w:t>
      </w:r>
    </w:p>
    <w:p>
      <w:pPr>
        <w:pStyle w:val="Heading2"/>
      </w:pPr>
      <w:r>
        <w:t>Definition and use</w:t>
      </w:r>
    </w:p>
    <w:p>
      <w:r>
        <w:t>Aggregate rates are ratios of summed counts: 100×ΣC/ΣE, 100×ΣA/ΣE, 100×ΣB/ΣE and 100×ΣI/ΣC. They are electorate-weighted measures. The unweighted mean of station-level percentages answers a different question about a typical station.</w:t>
      </w:r>
    </w:p>
    <w:p>
      <w:pPr>
        <w:pStyle w:val="Heading2"/>
      </w:pPr>
      <w:r>
        <w:t>Illustrative interpretation</w:t>
      </w:r>
    </w:p>
    <w:p>
      <w:r>
        <w:t>If a 100-voter station turns out 80 people and a 900-voter station turns out 450, the average station turnout is 65.00%, whereas aggregate turnout is 53.00%. Neither is incorrect, but they must be labelled.</w:t>
      </w:r>
    </w:p>
    <w:p>
      <w:pPr>
        <w:pStyle w:val="Heading2"/>
      </w:pPr>
      <w:r>
        <w:t>Alternative explanations and verification</w:t>
      </w:r>
    </w:p>
    <w:p>
      <w:r>
        <w:t>Population density, polling-station size and urban/rural composition influence denominator-weighted averages. Use predeclared samples and compare like with like.</w:t>
      </w:r>
    </w:p>
    <w:p>
      <w:pPr>
        <w:pStyle w:val="Heading1"/>
      </w:pPr>
      <w:r>
        <w:t>4. Nationally leading option and second option</w:t>
      </w:r>
    </w:p>
    <w:p>
      <w:pPr>
        <w:pStyle w:val="Heading2"/>
      </w:pPr>
      <w:r>
        <w:t>Definition and use</w:t>
      </w:r>
    </w:p>
    <w:p>
      <w:r>
        <w:t>Winner_votes and Runnerup_votes always refer to the nationally top-ranked candidate/list for that election, even if another option wins locally. Their local shares are 100×Σvotes/Σvalid ballots. Local_leader identifies the option ranking first inside the particular area; Local_margin_pct is the local top-two vote difference divided by valid ballots. The locally ranked winner should not replace the national winner in comparison tables.</w:t>
      </w:r>
    </w:p>
    <w:p>
      <w:pPr>
        <w:pStyle w:val="Heading2"/>
      </w:pPr>
      <w:r>
        <w:t>Illustrative interpretation</w:t>
      </w:r>
    </w:p>
    <w:p>
      <w:r>
        <w:t>Dummy area: nationally leading list has 380 of 1,000 valid votes and nationally second list has 410, while a third list has 200. The first national option has 38.00% here and the second 41.00%; the local margin is 3.00 percentage points between 410 and 380.</w:t>
      </w:r>
    </w:p>
    <w:p>
      <w:pPr>
        <w:pStyle w:val="Heading2"/>
      </w:pPr>
      <w:r>
        <w:t>Alternative explanations and verification</w:t>
      </w:r>
    </w:p>
    <w:p>
      <w:r>
        <w:t>Local variation reflects regional political preferences and candidate appeal. A difference is not an error unless the definitions have been confused.</w:t>
      </w:r>
    </w:p>
    <w:p>
      <w:pPr>
        <w:pStyle w:val="Heading1"/>
      </w:pPr>
      <w:r>
        <w:t>5. Effective_number_options</w:t>
      </w:r>
    </w:p>
    <w:p>
      <w:pPr>
        <w:pStyle w:val="Heading2"/>
      </w:pPr>
      <w:r>
        <w:t>Definition and use</w:t>
      </w:r>
    </w:p>
    <w:p>
      <w:r>
        <w:t>The effective number of electoral options is 1/Σ(p_j²), where p_j is the fraction of valid votes for candidate/list j in the specified aggregation. It is 1 when one option wins everything and increases with a more fragmented distribution. It is calculated from aggregated votes, not by averaging polling-station effective numbers.</w:t>
      </w:r>
    </w:p>
    <w:p>
      <w:pPr>
        <w:pStyle w:val="Heading2"/>
      </w:pPr>
      <w:r>
        <w:t>Illustrative interpretation</w:t>
      </w:r>
    </w:p>
    <w:p>
      <w:r>
        <w:t>Two options each at 50.00% yield 1/(0.50²+0.50²)=2.00. Four equally supported lists yield 4.00. If one option receives 80.00% and the other two 10.00% each, the measure is about 1.52.</w:t>
      </w:r>
    </w:p>
    <w:p>
      <w:pPr>
        <w:pStyle w:val="Heading2"/>
      </w:pPr>
      <w:r>
        <w:t>Alternative explanations and verification</w:t>
      </w:r>
    </w:p>
    <w:p>
      <w:r>
        <w:t>High concentration can stem from historical dominance, local identity, a strong candidate or strategic voting. A concentration shift may motivate further inquiry but is not itself a manipulation indicator.</w:t>
      </w:r>
    </w:p>
    <w:p>
      <w:pPr>
        <w:pStyle w:val="Heading1"/>
      </w:pPr>
      <w:r>
        <w:t>6. Mean, median and standard deviation (SD)</w:t>
      </w:r>
    </w:p>
    <w:p>
      <w:pPr>
        <w:pStyle w:val="Heading2"/>
      </w:pPr>
      <w:r>
        <w:t>Definition and use</w:t>
      </w:r>
    </w:p>
    <w:p>
      <w:r>
        <w:t>The mean is the arithmetic average over valid station-level observations; the median splits them into halves; SD is the sample standard deviation with n–1 denominator. Separate columns report the number of stations with defined ratios. A mean and SD of winner share must exclude zero-valid-ballot records because their vote share is undefined, not zero.</w:t>
      </w:r>
    </w:p>
    <w:p>
      <w:pPr>
        <w:pStyle w:val="Heading2"/>
      </w:pPr>
      <w:r>
        <w:t>Illustrative interpretation</w:t>
      </w:r>
    </w:p>
    <w:p>
      <w:r>
        <w:t>Turnout values of 40, 45, 50, 55 and 90% have mean 56.00%, median 50.00%, and sample SD approximately 19.56 percentage points. The mean is pulled upward by 90%.</w:t>
      </w:r>
    </w:p>
    <w:p>
      <w:pPr>
        <w:pStyle w:val="Heading2"/>
      </w:pPr>
      <w:r>
        <w:t>Alternative explanations and verification</w:t>
      </w:r>
    </w:p>
    <w:p>
      <w:r>
        <w:t>Skew or large SD may arise from heterogeneity of turnout opportunities, population demographics, institutional voting locations, or irregularities. Always compare distributions within geographically meaningful strata.</w:t>
      </w:r>
    </w:p>
    <w:p>
      <w:pPr>
        <w:pStyle w:val="Heading1"/>
      </w:pPr>
      <w:r>
        <w:t>7. Quartiles, interquartile range (IQR), P10 and P90</w:t>
      </w:r>
    </w:p>
    <w:p>
      <w:pPr>
        <w:pStyle w:val="Heading2"/>
      </w:pPr>
      <w:r>
        <w:t>Definition and use</w:t>
      </w:r>
    </w:p>
    <w:p>
      <w:r>
        <w:t>Q1 and Q3 are the sample 25th and 75th percentiles; IQR = Q3 – Q1. P10 and P90 bracket the central 80% of observed polling-station percentages. The module uses R quantile type 7 by default. A percentile of unweighted stations is not an electorate-weighted percentile.</w:t>
      </w:r>
    </w:p>
    <w:p>
      <w:pPr>
        <w:pStyle w:val="Heading2"/>
      </w:pPr>
      <w:r>
        <w:t>Illustrative interpretation</w:t>
      </w:r>
    </w:p>
    <w:p>
      <w:r>
        <w:t>If turnout Q1=48.00%, Q3=66.00%, IQR=18.00 percentage points, half the stations lie approximately between 48% and 66%. P10=39.00%, P90=76.00% means 80% lie between those percentiles.</w:t>
      </w:r>
    </w:p>
    <w:p>
      <w:pPr>
        <w:pStyle w:val="Heading2"/>
      </w:pPr>
      <w:r>
        <w:t>Alternative explanations and verification</w:t>
      </w:r>
    </w:p>
    <w:p>
      <w:r>
        <w:t>Wide dispersion may reflect socioeconomic geography or different local election administration; compare to historical elections and to similar settlements.</w:t>
      </w:r>
    </w:p>
    <w:p>
      <w:pPr>
        <w:pStyle w:val="Heading1"/>
      </w:pPr>
      <w:r>
        <w:t>8. Tukey outlier counts and percentages</w:t>
      </w:r>
    </w:p>
    <w:p>
      <w:pPr>
        <w:pStyle w:val="Heading2"/>
      </w:pPr>
      <w:r>
        <w:t>Definition and use</w:t>
      </w:r>
    </w:p>
    <w:p>
      <w:r>
        <w:t>Outlier_count counts station values strictly below Q1–1.5×IQR or above Q3+1.5×IQR within each reported geographical-and-size subgroup; Outlier_pct divides that count by the number of nonmissing station ratios. This is a distributional screen, not a fraud classification or a universal election-law threshold.</w:t>
      </w:r>
    </w:p>
    <w:p>
      <w:pPr>
        <w:pStyle w:val="Heading2"/>
      </w:pPr>
      <w:r>
        <w:t>Illustrative interpretation</w:t>
      </w:r>
    </w:p>
    <w:p>
      <w:r>
        <w:t>If Q1=45%, Q3=65%, IQR=20 percentage points, lower/upper fences are 15% and 95%. A station with 97% turnout is flagged, but 90% is not. Zero IQR can make this rule unusually sensitive.</w:t>
      </w:r>
    </w:p>
    <w:p>
      <w:pPr>
        <w:pStyle w:val="Heading2"/>
      </w:pPr>
      <w:r>
        <w:t>Alternative explanations and verification</w:t>
      </w:r>
    </w:p>
    <w:p>
      <w:r>
        <w:t>Extreme values can be genuine in very small, isolated, overseas or institutional stations. Review station identifiers, prior elections, observers and signed result protocols.</w:t>
      </w:r>
    </w:p>
    <w:p>
      <w:pPr>
        <w:pStyle w:val="Heading1"/>
      </w:pPr>
      <w:r>
        <w:t>9. Joint turnout–vote-share correlations</w:t>
      </w:r>
    </w:p>
    <w:p>
      <w:pPr>
        <w:pStyle w:val="Heading2"/>
      </w:pPr>
      <w:r>
        <w:t>Definition and use</w:t>
      </w:r>
    </w:p>
    <w:p>
      <w:r>
        <w:t>Joint_Pearson_r is the sample Pearson correlation across polling stations within an area and size group between station turnout and the nationally leading option’s percentage of valid votes. Joint_Spearman_rho is the rank correlation. Joint_N is the number of complete station pairs. Two-sided p-values are computed only with at least three nonconstant paired observations; BH q-values are adjusted within each level/group. Group-specific matrices elsewhere use district/municipality aggregates instead.</w:t>
      </w:r>
    </w:p>
    <w:p>
      <w:pPr>
        <w:pStyle w:val="Heading2"/>
      </w:pPr>
      <w:r>
        <w:t>Illustrative interpretation</w:t>
      </w:r>
    </w:p>
    <w:p>
      <w:r>
        <w:t>Dummy: 70 stations give Pearson r=0.60 and p=0.001, Spearman rho=0.45 and p=0.004. There is a positive station-level association, not an estimated fraud rate. Correlation does not mean the extra votes came from turnout inflation.</w:t>
      </w:r>
    </w:p>
    <w:p>
      <w:pPr>
        <w:pStyle w:val="Heading2"/>
      </w:pPr>
      <w:r>
        <w:t>Alternative explanations and verification</w:t>
      </w:r>
    </w:p>
    <w:p>
      <w:r>
        <w:t>Demographic composition, spatial clustering and list strength can create positive or negative turnout–share relationships. Analyse within comparable districts and investigate observer complaints, including any confirmed discrepancies, before using causal language.</w:t>
      </w:r>
    </w:p>
    <w:p>
      <w:pPr>
        <w:pStyle w:val="Heading1"/>
      </w:pPr>
      <w:r>
        <w:t>10. Group tests: Kruskal–Wallis and Mann–Whitney–Wilcoxon</w:t>
      </w:r>
    </w:p>
    <w:p>
      <w:pPr>
        <w:pStyle w:val="Heading2"/>
      </w:pPr>
      <w:r>
        <w:t>Definition and use</w:t>
      </w:r>
    </w:p>
    <w:p>
      <w:r>
        <w:t>Kruskal–Wallis assesses whether station-level outcome distributions differ among the disjoint Size Small/Middle/Large groups; Wilcoxon rank-sum compares the two disjoint JHK groups. The outcomes are polling-station turnout % and national-leader share of valid votes %. The hypotheses concern distributions/rank locations; they are not direct fraud hypotheses. Tests do not compare all seven displayed reporting groups because those overlap.</w:t>
      </w:r>
    </w:p>
    <w:p>
      <w:pPr>
        <w:pStyle w:val="Heading2"/>
      </w:pPr>
      <w:r>
        <w:t>Illustrative interpretation</w:t>
      </w:r>
    </w:p>
    <w:p>
      <w:r>
        <w:t>A KW turnout comparison might give p=0.009. The municipality-level BH-adjusted q might be 0.12, so it is nominally significant but does not survive control for the group of tests. Medians differing by 2 percentage points can be practically small even when significant.</w:t>
      </w:r>
    </w:p>
    <w:p>
      <w:pPr>
        <w:pStyle w:val="Heading2"/>
      </w:pPr>
      <w:r>
        <w:t>Alternative explanations and verification</w:t>
      </w:r>
    </w:p>
    <w:p>
      <w:r>
        <w:t>Independence of polling stations is approximate; clustering and covariates complicate inference. A substantive follow-up should use within-district modelling, spatial controls and observer evidence; p&lt;0.05 alone is insufficient.</w:t>
      </w:r>
    </w:p>
    <w:p>
      <w:pPr>
        <w:pStyle w:val="Heading1"/>
      </w:pPr>
      <w:r>
        <w:t>11. Significance, missing values and false discovery rate</w:t>
      </w:r>
    </w:p>
    <w:p>
      <w:pPr>
        <w:pStyle w:val="Heading2"/>
      </w:pPr>
      <w:r>
        <w:t>Definition and use</w:t>
      </w:r>
    </w:p>
    <w:p>
      <w:r>
        <w:t>P_value is the nominal two-sided tail probability under each statistical null model. BH_q_value is a Benjamini–Hochberg adjusted p-value for a specified family of tests; Significant_nominal requires p&lt;0.05; Significant_BH requires q&lt;0.05. Undefined coefficients or tests are exported as NA/blank, not zero. Presentation tables show p to three decimals or &lt;0.001, while other numerical statistics show two decimals.</w:t>
      </w:r>
    </w:p>
    <w:p>
      <w:pPr>
        <w:pStyle w:val="Heading2"/>
      </w:pPr>
      <w:r>
        <w:t>Illustrative interpretation</w:t>
      </w:r>
    </w:p>
    <w:p>
      <w:r>
        <w:t>Twenty independent truly null tests have roughly one expected p&lt;0.05 by chance. A table with eight nominally significant correlations among hundreds may not have any adjusted-significant results.</w:t>
      </w:r>
    </w:p>
    <w:p>
      <w:pPr>
        <w:pStyle w:val="Heading2"/>
      </w:pPr>
      <w:r>
        <w:t>Alternative explanations and verification</w:t>
      </w:r>
    </w:p>
    <w:p>
      <w:r>
        <w:t>Multiplicity correction addresses one aspect of false-positive risk, not confounding, selection bias, causal identification or irregular data provenance.</w:t>
      </w:r>
    </w:p>
    <w:p>
      <w:pPr>
        <w:pStyle w:val="Heading1"/>
      </w:pPr>
      <w:r>
        <w:t>12. Within-district comparisons and ecological interpretation</w:t>
      </w:r>
    </w:p>
    <w:p>
      <w:pPr>
        <w:pStyle w:val="Heading2"/>
      </w:pPr>
      <w:r>
        <w:t>Definition and use</w:t>
      </w:r>
    </w:p>
    <w:p>
      <w:r>
        <w:t>District-specific group tests compare station outcomes inside each district instead of merely comparing areas nationally. They reduce some between-district composition confounding but cannot adjust for within-district demographic or neighbourhood differences. The module also reports municipality-level tests where there are enough observations.</w:t>
      </w:r>
    </w:p>
    <w:p>
      <w:pPr>
        <w:pStyle w:val="Heading2"/>
      </w:pPr>
      <w:r>
        <w:t>Illustrative interpretation</w:t>
      </w:r>
    </w:p>
    <w:p>
      <w:r>
        <w:t>If national Small-vs-Large turnout differs by 7 percentage points but within almost every district by only 1–2 points, geographical composition was likely important. A municipality with only two stations per group has low power even for a large observed difference.</w:t>
      </w:r>
    </w:p>
    <w:p>
      <w:pPr>
        <w:pStyle w:val="Heading2"/>
      </w:pPr>
      <w:r>
        <w:t>Alternative explanations and verification</w:t>
      </w:r>
    </w:p>
    <w:p>
      <w:r>
        <w:t>A planned further step is a regression with district fixed effects and cluster-robust uncertainty or district-stratified permutation tests, coupled with sensitivity analysis.</w:t>
      </w:r>
    </w:p>
    <w:p>
      <w:pPr>
        <w:pStyle w:val="Heading1"/>
      </w:pPr>
      <w:r>
        <w:t>Evidence hierarchy and reproducibility</w:t>
      </w:r>
    </w:p>
    <w:p>
      <w:r>
        <w:t>A statistical flag should be documented with its unit of analysis, sample-selection rule, numerator/denominator, observed effect, uncertainty, multiple-testing policy, geographic comparison, original protocol and independent observer evidence. Where possible, preregister a follow-up analysis and reproduce it using the untouched Master dataset and original official download hash. Statistical deviations are a prompt for inquiry; a claim of election fraud requires substantially more direct evidence.</w:t>
      </w:r>
    </w:p>
    <w:sectPr w:rsidR="00FC693F" w:rsidRPr="0006063C" w:rsidSect="00034616">
      <w:footerReference w:type="default" r:id="rId9"/>
      <w:pgSz w:w="11909" w:h="16848"/>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Election Forensics R Toolkit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24D"/>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7324D"/>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7324D"/>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24D"/>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