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Promenljive i testovi: vodič za tumačenje</w:t>
      </w:r>
    </w:p>
    <w:p>
      <w:r>
        <w:t>Metodološke beleške za Election Forensics R Toolkit, deskriptivna statistika v0.3.0. Numerički primeri u ovom dokumentu su ilustrativni, osim kada je izričito navedeno drugačije. Priloženi izborni izveštaji sadrže stvarne proračune za podatke RZS iz 2017. i 2022.</w:t>
      </w:r>
    </w:p>
    <w:p>
      <w:pPr>
        <w:pStyle w:val="Heading1"/>
      </w:pPr>
      <w:r>
        <w:t>1. Obuhvat, jedinica posmatranja i imenitelji</w:t>
      </w:r>
    </w:p>
    <w:p>
      <w:pPr>
        <w:pStyle w:val="Heading2"/>
      </w:pPr>
      <w:r>
        <w:t>Definicija i uloga u izbornoj forenzici</w:t>
      </w:r>
    </w:p>
    <w:p>
      <w:r>
        <w:t>Osnovna jedinica je biračko mesto (BM), a rezultati se sabiraju po okruzima i po jedinstvenom paru šifara okrug–opština. List „Master” zadržava sve zapise i revizijski trag; „Main” je osnovni analitički uzorak. Grupa „All / Sva BM” obuhvata Main i BM sa manje od 100 upisanih birača koja zadovoljavaju ostale kriterijume kontrole kvaliteta (QC). Administrativno nevalidni zapisi ostaju isključeni.</w:t>
      </w:r>
    </w:p>
    <w:p>
      <w:pPr>
        <w:pStyle w:val="Heading2"/>
      </w:pPr>
      <w:r>
        <w:t>Ilustrativno tumačenje</w:t>
      </w:r>
    </w:p>
    <w:p>
      <w:r>
        <w:t>Primer: 8.000 BM u Main i još 350 QC-prihvaćenih BM sa manje od 100 birača daju 8.350 BM u grupi All, ali ne i svih 8.400 zapisa iz službenog izvora.</w:t>
      </w:r>
    </w:p>
    <w:p>
      <w:pPr>
        <w:pStyle w:val="Heading2"/>
      </w:pPr>
      <w:r>
        <w:t>Alternativna objašnjenja i provera</w:t>
      </w:r>
    </w:p>
    <w:p>
      <w:r>
        <w:t>Razlika u broju BM može odražavati pravila izbora analitičkog uzorka. Proveriti razloge isključenja, status i originalne zapisnike, naročito ako su slučajevi prostorno koncentrisani.</w:t>
      </w:r>
    </w:p>
    <w:p>
      <w:pPr>
        <w:pStyle w:val="Heading1"/>
      </w:pPr>
      <w:r>
        <w:t>2. Upisani (E), izašli (A), glasali (C), važeći (B) i nevažeći (I)</w:t>
      </w:r>
    </w:p>
    <w:p>
      <w:pPr>
        <w:pStyle w:val="Heading2"/>
      </w:pPr>
      <w:r>
        <w:t>Definicija i uloga u izbornoj forenzici</w:t>
      </w:r>
    </w:p>
    <w:p>
      <w:r>
        <w:t>E je broj upisanih, A evidentirani izlazak, C broj listića u kutiji, B važeći i I nevažeći listići. Za validne zapise važi C=B+I. Ovo su apsolutni brojevi; ne treba ih poistovetiti sa procentima.</w:t>
      </w:r>
    </w:p>
    <w:p>
      <w:pPr>
        <w:pStyle w:val="Heading2"/>
      </w:pPr>
      <w:r>
        <w:t>Ilustrativno tumačenje</w:t>
      </w:r>
    </w:p>
    <w:p>
      <w:r>
        <w:t>Ako su E=1.000, A=625, C=620, B=608, I=12, izlaznost je 62,00%, evidencija izlaska 62,50%, a nevažeći čine 1,94% ubačenih listića. Razlika A–C=5 nije broj nevažećih.</w:t>
      </w:r>
    </w:p>
    <w:p>
      <w:pPr>
        <w:pStyle w:val="Heading2"/>
      </w:pPr>
      <w:r>
        <w:t>Alternativna objašnjenja i provera</w:t>
      </w:r>
    </w:p>
    <w:p>
      <w:r>
        <w:t>Nevažeći listići mogu nastati usled pogrešnog popunjavanja, protesta ili složenosti listića; proveriti zapisnike i kvalitativne izveštaje posmatrača.</w:t>
      </w:r>
    </w:p>
    <w:p>
      <w:pPr>
        <w:pStyle w:val="Heading1"/>
      </w:pPr>
      <w:r>
        <w:t>3. Izlaznost i stope iz zbirnih podataka</w:t>
      </w:r>
    </w:p>
    <w:p>
      <w:pPr>
        <w:pStyle w:val="Heading2"/>
      </w:pPr>
      <w:r>
        <w:t>Definicija i uloga u izbornoj forenzici</w:t>
      </w:r>
    </w:p>
    <w:p>
      <w:r>
        <w:t>Turnout_pct=100×ΣC/ΣE; Attendance_pct=100×ΣA/ΣE; Valid_per_registered_pct=100×ΣB/ΣE; Invalid_per_cast_pct=100×ΣI/ΣC. Stopa iz zbirnih podataka nije isto što i neponderisana sredina stopa biračkih mesta.</w:t>
      </w:r>
    </w:p>
    <w:p>
      <w:pPr>
        <w:pStyle w:val="Heading2"/>
      </w:pPr>
      <w:r>
        <w:t>Ilustrativno tumačenje</w:t>
      </w:r>
    </w:p>
    <w:p>
      <w:r>
        <w:t>BM sa 100 upisanih i 80 izašlih ima 80%; BM sa 900 i 450 ima 50%. Prosek stopa po BM je 65,00%, dok je zbirna izlaznost 53,00%.</w:t>
      </w:r>
    </w:p>
    <w:p>
      <w:pPr>
        <w:pStyle w:val="Heading2"/>
      </w:pPr>
      <w:r>
        <w:t>Alternativna objašnjenja i provera</w:t>
      </w:r>
    </w:p>
    <w:p>
      <w:r>
        <w:t>Razlike mogu biti posledica raspodele veličina BM, urbanizacije i strukture stanovništva.</w:t>
      </w:r>
    </w:p>
    <w:p>
      <w:pPr>
        <w:pStyle w:val="Heading1"/>
      </w:pPr>
      <w:r>
        <w:t>4. Nacionalno prvoplasirana i drugoplasirana opcija</w:t>
      </w:r>
    </w:p>
    <w:p>
      <w:pPr>
        <w:pStyle w:val="Heading2"/>
      </w:pPr>
      <w:r>
        <w:t>Definicija i uloga u izbornoj forenzici</w:t>
      </w:r>
    </w:p>
    <w:p>
      <w:r>
        <w:t>Polja Winner_votes i Runnerup_votes označavaju iste nacionalno prvoplasirane dve opcije na svim geografskim nivoima, čak i kada druga opcija lokalno pobeđuje. Lokalni pobednik (Local_leader) se definiše posebno; Local_margin_pct je razlika lokalno prve i druge opcije u procentnim poenima validnih glasova.</w:t>
      </w:r>
    </w:p>
    <w:p>
      <w:pPr>
        <w:pStyle w:val="Heading2"/>
      </w:pPr>
      <w:r>
        <w:t>Ilustrativno tumačenje</w:t>
      </w:r>
    </w:p>
    <w:p>
      <w:r>
        <w:t>Ako nacionalni pobednik u okrugu ima 380/1.000=38,00% a nacionalni drugoplasirani 410/1.000=41,00%, oni se NE preimenuju. Lokalno prvo mesto ima 41,00%.</w:t>
      </w:r>
    </w:p>
    <w:p>
      <w:pPr>
        <w:pStyle w:val="Heading2"/>
      </w:pPr>
      <w:r>
        <w:t>Alternativna objašnjenja i provera</w:t>
      </w:r>
    </w:p>
    <w:p>
      <w:r>
        <w:t>Lokalne preferencije su normalne; nepodudarnost redosleda ne implicira nepravilnost.</w:t>
      </w:r>
    </w:p>
    <w:p>
      <w:pPr>
        <w:pStyle w:val="Heading1"/>
      </w:pPr>
      <w:r>
        <w:t>5. Efektivni broj izbornih opcija (effective number of options)</w:t>
      </w:r>
    </w:p>
    <w:p>
      <w:pPr>
        <w:pStyle w:val="Heading2"/>
      </w:pPr>
      <w:r>
        <w:t>Definicija i uloga u izbornoj forenzici</w:t>
      </w:r>
    </w:p>
    <w:p>
      <w:r>
        <w:t>Definiše se kao 1/Σpⱼ², gde je pⱼ udeo opcije među važećim glasovima u posmatranoj oblasti/grupi. Što je ravnomernija raspodela podrške, to je broj veći. Računa se iz zbirnih glasova, ne kao prosek po BM.</w:t>
      </w:r>
    </w:p>
    <w:p>
      <w:pPr>
        <w:pStyle w:val="Heading2"/>
      </w:pPr>
      <w:r>
        <w:t>Ilustrativno tumačenje</w:t>
      </w:r>
    </w:p>
    <w:p>
      <w:r>
        <w:t>Dve opcije po 50,00% daju 2,00. Četiri opcije po 25,00% daju 4,00. Jedna sa 80,00% i dve sa 10,00% daju oko 1,52.</w:t>
      </w:r>
    </w:p>
    <w:p>
      <w:pPr>
        <w:pStyle w:val="Heading2"/>
      </w:pPr>
      <w:r>
        <w:t>Alternativna objašnjenja i provera</w:t>
      </w:r>
    </w:p>
    <w:p>
      <w:r>
        <w:t>Koncentracija može nastati zbog regionalnog uporišta, lične popularnosti ili strateškog glasanja, a ne nužno zbog manipulacije.</w:t>
      </w:r>
    </w:p>
    <w:p>
      <w:pPr>
        <w:pStyle w:val="Heading1"/>
      </w:pPr>
      <w:r>
        <w:t>6. Aritmetička sredina, medijana i standardna devijacija (SD)</w:t>
      </w:r>
    </w:p>
    <w:p>
      <w:pPr>
        <w:pStyle w:val="Heading2"/>
      </w:pPr>
      <w:r>
        <w:t>Definicija i uloga u izbornoj forenzici</w:t>
      </w:r>
    </w:p>
    <w:p>
      <w:r>
        <w:t>Sredina je prosek vrednosti po BM, medijana deli uređeni niz na polovine, a SD meri rasipanje oko sredine sa imeniteljem n–1. Nedostajuće stope (npr. udeo pobednika kada nema važećih listića) ne smeju se zameniti nulom.</w:t>
      </w:r>
    </w:p>
    <w:p>
      <w:pPr>
        <w:pStyle w:val="Heading2"/>
      </w:pPr>
      <w:r>
        <w:t>Ilustrativno tumačenje</w:t>
      </w:r>
    </w:p>
    <w:p>
      <w:r>
        <w:t>Za izlaznosti 40, 45, 50, 55 i 90% sredina je 56,00%, medijana 50,00%, a uzoračka SD oko 19,56 procentnih poena.</w:t>
      </w:r>
    </w:p>
    <w:p>
      <w:pPr>
        <w:pStyle w:val="Heading2"/>
      </w:pPr>
      <w:r>
        <w:t>Alternativna objašnjenja i provera</w:t>
      </w:r>
    </w:p>
    <w:p>
      <w:r>
        <w:t>Razlika između sredine i medijane može pokazivati asimetriju raspodele zbog heterogenosti BM, geografije ili drugih uzroka.</w:t>
      </w:r>
    </w:p>
    <w:p>
      <w:pPr>
        <w:pStyle w:val="Heading1"/>
      </w:pPr>
      <w:r>
        <w:t>7. Kvartili, interkvartilni raspon (IQR), P10 i P90</w:t>
      </w:r>
    </w:p>
    <w:p>
      <w:pPr>
        <w:pStyle w:val="Heading2"/>
      </w:pPr>
      <w:r>
        <w:t>Definicija i uloga u izbornoj forenzici</w:t>
      </w:r>
    </w:p>
    <w:p>
      <w:r>
        <w:t>Q1 je 25. percentil, Q3 je 75. percentil, IQR=Q3−Q1; P10 i P90 omeđuju približno središnjih 80% vrednosti. Podrazumeva se neponderisana raspodela po BM, uz R quantile tip 7.</w:t>
      </w:r>
    </w:p>
    <w:p>
      <w:pPr>
        <w:pStyle w:val="Heading2"/>
      </w:pPr>
      <w:r>
        <w:t>Ilustrativno tumačenje</w:t>
      </w:r>
    </w:p>
    <w:p>
      <w:r>
        <w:t>Ako su Q1=48,00%, Q3=66,00%, IQR=18,00 procentnih poena, srednja polovina BM je približno u tom intervalu. P10=39,00% i P90=76,00% opisuju širinu centralnih 80%.</w:t>
      </w:r>
    </w:p>
    <w:p>
      <w:pPr>
        <w:pStyle w:val="Heading2"/>
      </w:pPr>
      <w:r>
        <w:t>Alternativna objašnjenja i provera</w:t>
      </w:r>
    </w:p>
    <w:p>
      <w:r>
        <w:t>Širi raspon može odražavati demografsku i prostornu heterogenost. Uporediti slične oblasti i istorijske izbore.</w:t>
      </w:r>
    </w:p>
    <w:p>
      <w:pPr>
        <w:pStyle w:val="Heading1"/>
      </w:pPr>
      <w:r>
        <w:t>8. Autlajeri (outlier count/percent)</w:t>
      </w:r>
    </w:p>
    <w:p>
      <w:pPr>
        <w:pStyle w:val="Heading2"/>
      </w:pPr>
      <w:r>
        <w:t>Definicija i uloga u izbornoj forenzici</w:t>
      </w:r>
    </w:p>
    <w:p>
      <w:r>
        <w:t>Autlajer je vrednost manja od Q1−1,5×IQR ili veća od Q3+1,5×IQR u posmatranoj oblasti i grupi. Procenat autlajera deli broj takvih BM brojem BM sa definisanom stopom. To NIJE klasifikacija izborne prevare.</w:t>
      </w:r>
    </w:p>
    <w:p>
      <w:pPr>
        <w:pStyle w:val="Heading2"/>
      </w:pPr>
      <w:r>
        <w:t>Ilustrativno tumačenje</w:t>
      </w:r>
    </w:p>
    <w:p>
      <w:r>
        <w:t>Ako su Q1=45%, Q3=65%, IQR=20, granice su 15% i 95%. BM sa izlaznošću 97% jeste autlajer, a sa 90% nije.</w:t>
      </w:r>
    </w:p>
    <w:p>
      <w:pPr>
        <w:pStyle w:val="Heading2"/>
      </w:pPr>
      <w:r>
        <w:t>Alternativna objašnjenja i provera</w:t>
      </w:r>
    </w:p>
    <w:p>
      <w:r>
        <w:t>Ekstremi mogu biti legitimni u malim, izdvojenim ili institucionalnim BM; proveriti zapisnike, posmatračke nalaze i prethodne izbore.</w:t>
      </w:r>
    </w:p>
    <w:p>
      <w:pPr>
        <w:pStyle w:val="Heading1"/>
      </w:pPr>
      <w:r>
        <w:t>9. Zajednička raspodela izlaznosti i udela pobednika</w:t>
      </w:r>
    </w:p>
    <w:p>
      <w:pPr>
        <w:pStyle w:val="Heading2"/>
      </w:pPr>
      <w:r>
        <w:t>Definicija i uloga u izbornoj forenzici</w:t>
      </w:r>
    </w:p>
    <w:p>
      <w:r>
        <w:t>Joint_Pearson_r i Joint_Spearman_rho računaju se na parovima BM unutar posmatrane oblasti/grupe: izlaznost i udeo nacionalnog pobednika među važećim glasovima. Joint_N je broj upotrebljivih parova; p i BH q vrednosti prate testove. Ovo NIJE isto što i korelacija između agregata različitih opština ili okruga.</w:t>
      </w:r>
    </w:p>
    <w:p>
      <w:pPr>
        <w:pStyle w:val="Heading2"/>
      </w:pPr>
      <w:r>
        <w:t>Ilustrativno tumačenje</w:t>
      </w:r>
    </w:p>
    <w:p>
      <w:r>
        <w:t>Za 70 BM Pearson r=0,60 (p=0,001), Spearman rho=0,45 (p=0,004): postoji pozitivna povezanost, ali koeficijent ne procenjuje procenat pokradenih glasova.</w:t>
      </w:r>
    </w:p>
    <w:p>
      <w:pPr>
        <w:pStyle w:val="Heading2"/>
      </w:pPr>
      <w:r>
        <w:t>Alternativna objašnjenja i provera</w:t>
      </w:r>
    </w:p>
    <w:p>
      <w:r>
        <w:t>Mogući razlozi su demografija, podrška kandidatu, tip naselja ili drugi faktori. Potrebna je kontrola konfaundera i kvalitativna provera.</w:t>
      </w:r>
    </w:p>
    <w:p>
      <w:pPr>
        <w:pStyle w:val="Heading1"/>
      </w:pPr>
      <w:r>
        <w:t>10. Kruskal–Wallis i Mann–Whitney–Wilcoxon test</w:t>
      </w:r>
    </w:p>
    <w:p>
      <w:pPr>
        <w:pStyle w:val="Heading2"/>
      </w:pPr>
      <w:r>
        <w:t>Definicija i uloga u izbornoj forenzici</w:t>
      </w:r>
    </w:p>
    <w:p>
      <w:r>
        <w:t>Kruskal–Wallis poredi tri disjunktne grupe po Size (Small, Middle, Large), a Vilkoksonov test dve disjunktne JHK grupe. Ishodi su izlaznost BM i udeo nacionalnog pobednika. Poređenja se računaju nacionalno i unutar okruga/opština; sedam preklapajućih grupa se NE testira zajedno kao sedam nezavisnih uzoraka.</w:t>
      </w:r>
    </w:p>
    <w:p>
      <w:pPr>
        <w:pStyle w:val="Heading2"/>
      </w:pPr>
      <w:r>
        <w:t>Ilustrativno tumačenje</w:t>
      </w:r>
    </w:p>
    <w:p>
      <w:r>
        <w:t>Ako je KW p=0,009, a BH q=0,12, nominalna značajnost se gubi posle korekcije za višestruko testiranje. Razlika medijana od 2 procentna poena može biti statistički značajna, ali praktično mala.</w:t>
      </w:r>
    </w:p>
    <w:p>
      <w:pPr>
        <w:pStyle w:val="Heading2"/>
      </w:pPr>
      <w:r>
        <w:t>Alternativna objašnjenja i provera</w:t>
      </w:r>
    </w:p>
    <w:p>
      <w:r>
        <w:t>Proveriti nezavisnost BM, prostornu zavisnost, veličinu efekta i razlike u sastavu stanovništva.</w:t>
      </w:r>
    </w:p>
    <w:p>
      <w:pPr>
        <w:pStyle w:val="Heading1"/>
      </w:pPr>
      <w:r>
        <w:t>11. p-vrednost, BH-korekcija i nedostajuće vrednosti</w:t>
      </w:r>
    </w:p>
    <w:p>
      <w:pPr>
        <w:pStyle w:val="Heading2"/>
      </w:pPr>
      <w:r>
        <w:t>Definicija i uloga u izbornoj forenzici</w:t>
      </w:r>
    </w:p>
    <w:p>
      <w:r>
        <w:t>P_value je nominalna dvostrana p-vrednost, a BH_q_value Benjamini–Hochberg korigovana vrednost u unapred definisanoj porodici testova. Significant_nominal važi za p&lt;0,05, a Significant_BH za q&lt;0,05. Nedozvoljeni/nekalkulabilni slučajevi imaju NA, a ne nulu.</w:t>
      </w:r>
    </w:p>
    <w:p>
      <w:pPr>
        <w:pStyle w:val="Heading2"/>
      </w:pPr>
      <w:r>
        <w:t>Ilustrativno tumačenje</w:t>
      </w:r>
    </w:p>
    <w:p>
      <w:r>
        <w:t>Kod 20 potpuno nultih testova očekuje se oko jedan lažno značajan nalaz na pragu 5%. P&lt;0,001 treba pisati „&lt;0,001“, a ne „0,00“.</w:t>
      </w:r>
    </w:p>
    <w:p>
      <w:pPr>
        <w:pStyle w:val="Heading2"/>
      </w:pPr>
      <w:r>
        <w:t>Alternativna objašnjenja i provera</w:t>
      </w:r>
    </w:p>
    <w:p>
      <w:r>
        <w:t>Korekcija smanjuje problem višestrukosti, ali ne rešava konfaundiranje, pristrasnosti ili prostornu povezanost.</w:t>
      </w:r>
    </w:p>
    <w:p>
      <w:pPr>
        <w:pStyle w:val="Heading1"/>
      </w:pPr>
      <w:r>
        <w:t>12. Poređenja unutar okruga i ekološka greška</w:t>
      </w:r>
    </w:p>
    <w:p>
      <w:pPr>
        <w:pStyle w:val="Heading2"/>
      </w:pPr>
      <w:r>
        <w:t>Definicija i uloga u izbornoj forenzici</w:t>
      </w:r>
    </w:p>
    <w:p>
      <w:r>
        <w:t>Testovi po okrugu smanjuju uticaj razlika između okruga, ali ne uklanjaju sve razlike unutar okruga. Testovi po opštinama zahtevaju dovoljan broj BM u svakoj veličinskoj grupi. Korelacija između okružnih agregata ne objašnjava ponašanje pojedinačnih birača ni pojedinačnih BM.</w:t>
      </w:r>
    </w:p>
    <w:p>
      <w:pPr>
        <w:pStyle w:val="Heading2"/>
      </w:pPr>
      <w:r>
        <w:t>Ilustrativno tumačenje</w:t>
      </w:r>
    </w:p>
    <w:p>
      <w:r>
        <w:t>Ako je nacionalna razlika izlaznosti Small–Large sedam poena, a unutar većine okruga jedan poen, geografski sastav uzorka verovatno objašnjava deo razlike.</w:t>
      </w:r>
    </w:p>
    <w:p>
      <w:pPr>
        <w:pStyle w:val="Heading2"/>
      </w:pPr>
      <w:r>
        <w:t>Alternativna objašnjenja i provera</w:t>
      </w:r>
    </w:p>
    <w:p>
      <w:r>
        <w:t>Sledeći metodološki korak bio bi regresioni model sa efektima okruga, robusnim standardnim greškama i analizom osetljivosti.</w:t>
      </w:r>
    </w:p>
    <w:p>
      <w:pPr>
        <w:pStyle w:val="Heading1"/>
      </w:pPr>
      <w:r>
        <w:t>Hijerarhija dokaza i reproduktivnost</w:t>
      </w:r>
    </w:p>
    <w:p>
      <w:r>
        <w:t>Statistički signal treba dokumentovati zajedno sa jedinicom posmatranja, pravilom izbora uzorka, brojiocem/imeniteljem, veličinom efekta, neizvesnošću, pravilom korekcije, geografskim poređenjem, zapisnikom i nezavisnim posmatračkim dokazima. Kada je moguće, unapred registrovati dodatnu analizu i ponoviti je na neizmenjenom Master skupu i zvaničnim izvorima. Statističko odstupanje je razlog za proveru, a ne samo po sebi dokaz izborne prevare.</w:t>
      </w:r>
    </w:p>
    <w:sectPr w:rsidR="00FC693F" w:rsidRPr="0006063C" w:rsidSect="00034616">
      <w:footerReference w:type="default" r:id="rId9"/>
      <w:pgSz w:w="11909" w:h="16848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Election Forensics R Toolkit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