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LIFE MyZubster — Architettura preliminare del progetto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Concept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Titolo provvisorio: LIFE MyZubster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Programma target: LIFE 2026 — Circular Economy and Quality of Life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Idea centrale: creare e dimostrare un modello digitale, replicabile e open-source che colleghi monitoraggio ambientale, riuso dell’acqua, economia circolare, dati IoT e MRV (Monitoring, Reporting &amp; Verification) a scala urbana e territoriale.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Il progetto utilizza il territorio Cesena–Rimini come living lab, integrando infrastrutture ambientali reali, dati pubblici e privati, sensori e strumenti digitali in una piattaforma comune capace di misurare gli impatti ambientali e supportare decisioni operative. L’obiettivo non è sviluppare semplicemente una piattaforma software, ma dimostrare un modello operativo replicabile in altre città europee.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Consorzio proposto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Comune di Rimini — Coordinator / Pilot Authority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Ruolo: Coordinating Beneficiary oppure principale autorità pubblica pilota. Governance complessiva, coordinamento LIFE, integrazione con politiche ambientali e climatiche, casi d’uso urbani, stakeholder, replicabilità e comunicazione istituzionale.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ISPRA — Scientific MRV &amp; Environmental Validation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Ruolo: leader del WP MRV, indicatori e validazione ambientale. Baseline, KPI scientifici, protocolli qualità dati, validazione indicatori, interoperabilità e valutazione degli impatti.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ENEA — Water Reuse &amp; Circular Economy Technical Leader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Ruolo: technical/scientific WP leader. Riuso delle acque reflue depurate, qualità dell’acqua, monitoraggio, sensoristica, valutazione rischi, circular water management e validazione scientifica.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HERA — Infrastructure &amp; Demonstration Partner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Ruolo: industrial/infrastructure partner e gestore del pilot. Accesso a impianti e dati operativi, integrazione sensoristica, sperimentazione reale, verifica dei processi di riuso e modello industriale di replicazione. Pilot prioritario: area di Cesena.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MyZubster — Digital Platform &amp; Open Data Layer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Ruolo: digital innovation partner. Piattaforma digitale, ingestion dati, API, data model, dashboard, geolocalizzazione, workflow MRV, componenti open-source e strumenti di replicazione. MyZubster è il layer digitale che collega infrastrutture, sensori, indicatori scientifici e utenti.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CNR / Università — Research Partner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Partner da selezionare in base ai gap scientifici residui: AI/data analytics, sensoristica, microbiologia ambientale, LCA, circular economy, behavioural science, digital twin o environmental economics.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Work Package preliminari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WP1 — Project Management &amp; LIFE Governance — Lead: Comune di Rimini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WP2 — Baseline, MRV &amp; Environmental Indicators — Lead: ISPRA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WP3 — Water Reuse &amp; Circular Water Pilot — Lead: ENEA; partner operativo: HERA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WP4 — MyZubster Digital Environmental Platform — Lead: MyZubster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WP5 — Urban Demonstration — Lead: Comune di Rimini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WP6 — Impact Assessment — Lead: ISPRA / ENEA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WP7 — Replication &amp; Exploitation — Lead: Comune di Rimini + MyZubster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WP8 — Communication, Dissemination &amp; Policy Uptake — Lead: Rimini / partner specializzato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Architettura logica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INFRASTRUTTURE → SENSORI / DATI OPERATIVI → MyZubster Data Layer → MRV ENGINE → ISPRA + ENEA scientific validation → DASHBOARD / DECISION SUPPORT → Comune + Utility + Stakeholder → ENVIRONMENTAL IMPACT → REPLICATION KIT → ALTRE CITTÀ EUROPEE.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 Pilot flagship — From Wastewater to Verified Circular Water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 sistema segue digitalmente l’acqua: depurazione → verifica qualità → disponibilità → riuso → quantità effettivamente riutilizzata → beneficio ambientale certificabile.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MyZubster crea un possibile digital environmental passport dell’acqua recuperata. Per ogni volume recuperato possono essere associati, dove metodologicamente possibile: origine, qualità, destinazione, volume, timestamp, indicatori, risparmio di acqua primaria, energia associata, CO₂ equivalente ed evidenze MRV.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6. Budget preliminare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Budget complessivo indicativo: €2,5–4 milioni.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Comune/governance/urban pilot: 15–20%; HERA/infrastructure pilot: 20–25%; ENEA: 15–18%; ISPRA: 10–15%; MyZubster/digital platform: 15–20%; CNR/Università: 5–10%; replication/communication: 5–10%.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 percentuali sono una base negoziale e dovranno essere ricostruite bottom-up sulle attività ammissibili LIFE.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7. Elemento distintivo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Non: “creiamo una nuova piattaforma per monitorare l’ambiente”.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Bensì: “Dimostriamo un’infrastruttura digitale aperta che rende misurabili, verificabili e replicabili i flussi della circular economy, partendo dal riuso dell’acqua e trasferendo il modello alla scala urbana europea.”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8. Prima proposta di KPI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Target da quantificare: m³/anno di acqua recuperata monitorata; acqua primaria risparmiata; parametri monitorati automaticamente; riduzione tempo reporting/MRV; sistemi dati integrati; dataset interoperabili; utenti istituzionali; città coinvolte; replication agreements; CO₂ equivalente; costi operativi; percentuale software open-source.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9. Strategia di coinvolgimento partner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Ordine proposto: 1) Comune di Rimini; 2) ENEA; 3) HERA; 4) ISPRA. Solo dopo questi confronti conviene chiudere CNR/Università e partner europei.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10. Decisione Go / No-Go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Entro fine agosto 2026: Comune, ENEA, HERA e ISPRA (o alternativa) disponibili; pilot identificato; accessibilità dati; baseline preliminare; budget/cofinanziamento; ruolo MyZubster accettato.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11. Roadmap verso il 22 settembre 2026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20–25 agosto: partner outreach e call bilaterali.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25–28 agosto: consortium meeting e definizione pilot.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28 agosto–2 settembre: concept note interna, intervention logic, baseline e KPI.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2–7 settembre: WP, deliverable, milestones e responsabilità.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7–12 settembre: budget partner e dati amministrativi.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12–17 settembre: prima proposal completa.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17–20 settembre: review tecnica.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20–21 settembre: finalizzazione e controlli.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 settembre: submission.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12. Priorità immediata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Ottenere quattro manifestazioni di interesse da Rimini, ENEA, HERA e ISPRA. Il primo documento operativo da far circolare è una 2-page Concept Note: problema europeo, soluzione MyZubster, pilot Cesena–Rimini, consorzio, impatti attesi e ruolo richiesto a ciascun partner.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