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b w:val="1"/>
          <w:bCs w:val="1"/>
          <w:rtl w:val="0"/>
        </w:rPr>
        <w:t xml:space="preserve">MyZubster LIFE 2026 – Partner Matrix</w:t>
      </w:r>
      <w:r w:rsidDel="00000000" w:rsidR="00000000" w:rsidRPr="00000000">
        <w:rPr>
          <w:rtl w:val="0"/>
        </w:rPr>
      </w:r>
    </w:p>
    <w:p w:rsidR="00000000" w:rsidDel="00000000" w:rsidP="00000000" w:rsidRDefault="00000000" w:rsidRPr="00000000" w14:paraId="00000002">
      <w:pPr>
        <w:rPr/>
      </w:pPr>
      <w:r w:rsidDel="00000000" w:rsidR="00000000" w:rsidRPr="00000000">
        <w:rPr>
          <w:color w:val="6b7280"/>
          <w:sz w:val="22"/>
          <w:szCs w:val="22"/>
          <w:rtl w:val="0"/>
        </w:rPr>
        <w:t xml:space="preserve">Decision matrix for consortium formation and outreach prioritisation</w:t>
      </w:r>
      <w:r w:rsidDel="00000000" w:rsidR="00000000" w:rsidRPr="00000000">
        <w:rPr>
          <w:rtl w:val="0"/>
        </w:rPr>
      </w:r>
    </w:p>
    <w:p w:rsidR="00000000" w:rsidDel="00000000" w:rsidP="00000000" w:rsidRDefault="00000000" w:rsidRPr="00000000" w14:paraId="00000003">
      <w:pPr>
        <w:rPr/>
      </w:pPr>
      <w:r w:rsidDel="00000000" w:rsidR="00000000" w:rsidRPr="00000000">
        <w:rPr>
          <w:color w:val="6b7280"/>
          <w:sz w:val="16"/>
          <w:szCs w:val="16"/>
          <w:rtl w:val="0"/>
        </w:rPr>
        <w:t xml:space="preserve">MyZubster | LIFE 2026 | Working Draft – 20 August 2026</w:t>
      </w: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1"/>
          <w:tblHeader w:val="0"/>
        </w:trPr>
        <w:tc>
          <w:tcPr>
            <w:shd w:fill="eaf2f8" w:val="clear"/>
            <w:vAlign w:val="center"/>
          </w:tcPr>
          <w:p w:rsidR="00000000" w:rsidDel="00000000" w:rsidP="00000000" w:rsidRDefault="00000000" w:rsidRPr="00000000" w14:paraId="00000004">
            <w:pPr>
              <w:spacing w:after="0" w:lineRule="auto"/>
              <w:rPr/>
            </w:pPr>
            <w:r w:rsidDel="00000000" w:rsidR="00000000" w:rsidRPr="00000000">
              <w:rPr>
                <w:b w:val="1"/>
                <w:bCs w:val="1"/>
                <w:color w:val="1f4e79"/>
                <w:sz w:val="20"/>
                <w:szCs w:val="20"/>
                <w:rtl w:val="0"/>
              </w:rPr>
              <w:t xml:space="preserve">Decision rule: first close Authority → Technology → Independent Validation → Real Pilot. Add specialist partners only for clear gaps.</w:t>
            </w:r>
            <w:r w:rsidDel="00000000" w:rsidR="00000000" w:rsidRPr="00000000">
              <w:rPr>
                <w:rtl w:val="0"/>
              </w:rPr>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Partner prioritisation matrix</w:t>
      </w:r>
    </w:p>
    <w:tbl>
      <w:tblPr>
        <w:tblStyle w:val="Table2"/>
        <w:tblW w:w="102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278"/>
        <w:gridCol w:w="1278"/>
        <w:gridCol w:w="1278"/>
        <w:gridCol w:w="1278"/>
        <w:gridCol w:w="1278"/>
        <w:gridCol w:w="1278"/>
        <w:gridCol w:w="1278"/>
        <w:tblGridChange w:id="0">
          <w:tblGrid>
            <w:gridCol w:w="1278"/>
            <w:gridCol w:w="1278"/>
            <w:gridCol w:w="1278"/>
            <w:gridCol w:w="1278"/>
            <w:gridCol w:w="1278"/>
            <w:gridCol w:w="1278"/>
            <w:gridCol w:w="1278"/>
            <w:gridCol w:w="1278"/>
          </w:tblGrid>
        </w:tblGridChange>
      </w:tblGrid>
      <w:tr>
        <w:trPr>
          <w:cantSplit w:val="1"/>
          <w:tblHeader w:val="0"/>
        </w:trPr>
        <w:tc>
          <w:tcPr>
            <w:shd w:fill="1f4e79" w:val="clear"/>
          </w:tcPr>
          <w:p w:rsidR="00000000" w:rsidDel="00000000" w:rsidP="00000000" w:rsidRDefault="00000000" w:rsidRPr="00000000" w14:paraId="00000007">
            <w:pPr>
              <w:rPr/>
            </w:pPr>
            <w:r w:rsidDel="00000000" w:rsidR="00000000" w:rsidRPr="00000000">
              <w:rPr>
                <w:b w:val="1"/>
                <w:bCs w:val="1"/>
                <w:color w:val="ffffff"/>
                <w:sz w:val="16"/>
                <w:szCs w:val="16"/>
                <w:rtl w:val="0"/>
              </w:rPr>
              <w:t xml:space="preserve">Candidate</w:t>
            </w:r>
            <w:r w:rsidDel="00000000" w:rsidR="00000000" w:rsidRPr="00000000">
              <w:rPr>
                <w:rtl w:val="0"/>
              </w:rPr>
            </w:r>
          </w:p>
        </w:tc>
        <w:tc>
          <w:tcPr>
            <w:shd w:fill="1f4e79" w:val="clear"/>
          </w:tcPr>
          <w:p w:rsidR="00000000" w:rsidDel="00000000" w:rsidP="00000000" w:rsidRDefault="00000000" w:rsidRPr="00000000" w14:paraId="00000008">
            <w:pPr>
              <w:rPr/>
            </w:pPr>
            <w:r w:rsidDel="00000000" w:rsidR="00000000" w:rsidRPr="00000000">
              <w:rPr>
                <w:b w:val="1"/>
                <w:bCs w:val="1"/>
                <w:color w:val="ffffff"/>
                <w:sz w:val="16"/>
                <w:szCs w:val="16"/>
                <w:rtl w:val="0"/>
              </w:rPr>
              <w:t xml:space="preserve">Role</w:t>
            </w:r>
            <w:r w:rsidDel="00000000" w:rsidR="00000000" w:rsidRPr="00000000">
              <w:rPr>
                <w:rtl w:val="0"/>
              </w:rPr>
            </w:r>
          </w:p>
        </w:tc>
        <w:tc>
          <w:tcPr>
            <w:shd w:fill="1f4e79" w:val="clear"/>
          </w:tcPr>
          <w:p w:rsidR="00000000" w:rsidDel="00000000" w:rsidP="00000000" w:rsidRDefault="00000000" w:rsidRPr="00000000" w14:paraId="00000009">
            <w:pPr>
              <w:rPr/>
            </w:pPr>
            <w:r w:rsidDel="00000000" w:rsidR="00000000" w:rsidRPr="00000000">
              <w:rPr>
                <w:b w:val="1"/>
                <w:bCs w:val="1"/>
                <w:color w:val="ffffff"/>
                <w:sz w:val="16"/>
                <w:szCs w:val="16"/>
                <w:rtl w:val="0"/>
              </w:rPr>
              <w:t xml:space="preserve">WP</w:t>
            </w:r>
            <w:r w:rsidDel="00000000" w:rsidR="00000000" w:rsidRPr="00000000">
              <w:rPr>
                <w:rtl w:val="0"/>
              </w:rPr>
            </w:r>
          </w:p>
        </w:tc>
        <w:tc>
          <w:tcPr>
            <w:shd w:fill="1f4e79" w:val="clear"/>
          </w:tcPr>
          <w:p w:rsidR="00000000" w:rsidDel="00000000" w:rsidP="00000000" w:rsidRDefault="00000000" w:rsidRPr="00000000" w14:paraId="0000000A">
            <w:pPr>
              <w:rPr/>
            </w:pPr>
            <w:r w:rsidDel="00000000" w:rsidR="00000000" w:rsidRPr="00000000">
              <w:rPr>
                <w:b w:val="1"/>
                <w:bCs w:val="1"/>
                <w:color w:val="ffffff"/>
                <w:sz w:val="16"/>
                <w:szCs w:val="16"/>
                <w:rtl w:val="0"/>
              </w:rPr>
              <w:t xml:space="preserve">Concrete contribution</w:t>
            </w:r>
            <w:r w:rsidDel="00000000" w:rsidR="00000000" w:rsidRPr="00000000">
              <w:rPr>
                <w:rtl w:val="0"/>
              </w:rPr>
            </w:r>
          </w:p>
        </w:tc>
        <w:tc>
          <w:tcPr>
            <w:shd w:fill="1f4e79" w:val="clear"/>
          </w:tcPr>
          <w:p w:rsidR="00000000" w:rsidDel="00000000" w:rsidP="00000000" w:rsidRDefault="00000000" w:rsidRPr="00000000" w14:paraId="0000000B">
            <w:pPr>
              <w:rPr/>
            </w:pPr>
            <w:r w:rsidDel="00000000" w:rsidR="00000000" w:rsidRPr="00000000">
              <w:rPr>
                <w:b w:val="1"/>
                <w:bCs w:val="1"/>
                <w:color w:val="ffffff"/>
                <w:sz w:val="16"/>
                <w:szCs w:val="16"/>
                <w:rtl w:val="0"/>
              </w:rPr>
              <w:t xml:space="preserve">LIFE value</w:t>
            </w:r>
            <w:r w:rsidDel="00000000" w:rsidR="00000000" w:rsidRPr="00000000">
              <w:rPr>
                <w:rtl w:val="0"/>
              </w:rPr>
            </w:r>
          </w:p>
        </w:tc>
        <w:tc>
          <w:tcPr>
            <w:shd w:fill="1f4e79" w:val="clear"/>
          </w:tcPr>
          <w:p w:rsidR="00000000" w:rsidDel="00000000" w:rsidP="00000000" w:rsidRDefault="00000000" w:rsidRPr="00000000" w14:paraId="0000000C">
            <w:pPr>
              <w:rPr/>
            </w:pPr>
            <w:r w:rsidDel="00000000" w:rsidR="00000000" w:rsidRPr="00000000">
              <w:rPr>
                <w:b w:val="1"/>
                <w:bCs w:val="1"/>
                <w:color w:val="ffffff"/>
                <w:sz w:val="16"/>
                <w:szCs w:val="16"/>
                <w:rtl w:val="0"/>
              </w:rPr>
              <w:t xml:space="preserve">Adhesion</w:t>
            </w:r>
            <w:r w:rsidDel="00000000" w:rsidR="00000000" w:rsidRPr="00000000">
              <w:rPr>
                <w:rtl w:val="0"/>
              </w:rPr>
            </w:r>
          </w:p>
        </w:tc>
        <w:tc>
          <w:tcPr>
            <w:shd w:fill="1f4e79" w:val="clear"/>
          </w:tcPr>
          <w:p w:rsidR="00000000" w:rsidDel="00000000" w:rsidP="00000000" w:rsidRDefault="00000000" w:rsidRPr="00000000" w14:paraId="0000000D">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f4e79" w:val="clear"/>
          </w:tcPr>
          <w:p w:rsidR="00000000" w:rsidDel="00000000" w:rsidP="00000000" w:rsidRDefault="00000000" w:rsidRPr="00000000" w14:paraId="0000000E">
            <w:pPr>
              <w:rPr/>
            </w:pPr>
            <w:r w:rsidDel="00000000" w:rsidR="00000000" w:rsidRPr="00000000">
              <w:rPr>
                <w:b w:val="1"/>
                <w:bCs w:val="1"/>
                <w:color w:val="ffffff"/>
                <w:sz w:val="16"/>
                <w:szCs w:val="16"/>
                <w:rtl w:val="0"/>
              </w:rPr>
              <w:t xml:space="preserve">Action</w:t>
            </w:r>
            <w:r w:rsidDel="00000000" w:rsidR="00000000" w:rsidRPr="00000000">
              <w:rPr>
                <w:rtl w:val="0"/>
              </w:rPr>
            </w:r>
          </w:p>
        </w:tc>
      </w:tr>
      <w:tr>
        <w:trPr>
          <w:cantSplit w:val="1"/>
          <w:tblHeader w:val="0"/>
        </w:trPr>
        <w:tc>
          <w:tcPr/>
          <w:p w:rsidR="00000000" w:rsidDel="00000000" w:rsidP="00000000" w:rsidRDefault="00000000" w:rsidRPr="00000000" w14:paraId="0000000F">
            <w:pPr>
              <w:rPr/>
            </w:pPr>
            <w:r w:rsidDel="00000000" w:rsidR="00000000" w:rsidRPr="00000000">
              <w:rPr>
                <w:sz w:val="14"/>
                <w:szCs w:val="14"/>
                <w:rtl w:val="0"/>
              </w:rPr>
              <w:t xml:space="preserve">Public coordinator (Regione / equivalent)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4"/>
                <w:szCs w:val="14"/>
                <w:rtl w:val="0"/>
              </w:rPr>
              <w:t xml:space="preserve">Applicant / Coordinator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4"/>
                <w:szCs w:val="14"/>
                <w:rtl w:val="0"/>
              </w:rPr>
              <w:t xml:space="preserve">WP1, WP6</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4"/>
                <w:szCs w:val="14"/>
                <w:rtl w:val="0"/>
              </w:rPr>
              <w:t xml:space="preserve">Governance, policy integration, admin capacity, stakeholder access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4"/>
                <w:szCs w:val="14"/>
                <w:rtl w:val="0"/>
              </w:rPr>
              <w:t xml:space="preserve">Very high</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4"/>
                <w:szCs w:val="14"/>
                <w:rtl w:val="0"/>
              </w:rPr>
              <w:t xml:space="preserve">P1</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4"/>
                <w:szCs w:val="14"/>
                <w:rtl w:val="0"/>
              </w:rPr>
              <w:t xml:space="preserve">Immediate</w:t>
            </w:r>
            <w:r w:rsidDel="00000000" w:rsidR="00000000" w:rsidRPr="00000000">
              <w:rPr>
                <w:rtl w:val="0"/>
              </w:rPr>
            </w:r>
          </w:p>
        </w:tc>
      </w:tr>
      <w:tr>
        <w:trPr>
          <w:cantSplit w:val="1"/>
          <w:tblHeader w:val="0"/>
        </w:trPr>
        <w:tc>
          <w:tcPr/>
          <w:p w:rsidR="00000000" w:rsidDel="00000000" w:rsidP="00000000" w:rsidRDefault="00000000" w:rsidRPr="00000000" w14:paraId="00000017">
            <w:pPr>
              <w:rPr/>
            </w:pPr>
            <w:r w:rsidDel="00000000" w:rsidR="00000000" w:rsidRPr="00000000">
              <w:rPr>
                <w:sz w:val="14"/>
                <w:szCs w:val="14"/>
                <w:rtl w:val="0"/>
              </w:rPr>
              <w:t xml:space="preserve">MyZubster</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4"/>
                <w:szCs w:val="14"/>
                <w:rtl w:val="0"/>
              </w:rPr>
              <w:t xml:space="preserve">Technology &amp; Data Partner</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4"/>
                <w:szCs w:val="14"/>
                <w:rtl w:val="0"/>
              </w:rPr>
              <w:t xml:space="preserve">WP2, WP3</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4"/>
                <w:szCs w:val="14"/>
                <w:rtl w:val="0"/>
              </w:rPr>
              <w:t xml:space="preserve">Platform, data architecture, APIs, dashboards, analytics, IoT integration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4"/>
                <w:szCs w:val="14"/>
                <w:rtl w:val="0"/>
              </w:rPr>
              <w:t xml:space="preserve">Very high</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4"/>
                <w:szCs w:val="14"/>
                <w:rtl w:val="0"/>
              </w:rPr>
              <w:t xml:space="preserve">P1</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4"/>
                <w:szCs w:val="14"/>
                <w:rtl w:val="0"/>
              </w:rPr>
              <w:t xml:space="preserve">Locked</w:t>
            </w:r>
            <w:r w:rsidDel="00000000" w:rsidR="00000000" w:rsidRPr="00000000">
              <w:rPr>
                <w:rtl w:val="0"/>
              </w:rPr>
            </w:r>
          </w:p>
        </w:tc>
      </w:tr>
      <w:tr>
        <w:trPr>
          <w:cantSplit w:val="1"/>
          <w:tblHeader w:val="0"/>
        </w:trPr>
        <w:tc>
          <w:tcPr/>
          <w:p w:rsidR="00000000" w:rsidDel="00000000" w:rsidP="00000000" w:rsidRDefault="00000000" w:rsidRPr="00000000" w14:paraId="0000001F">
            <w:pPr>
              <w:rPr/>
            </w:pPr>
            <w:r w:rsidDel="00000000" w:rsidR="00000000" w:rsidRPr="00000000">
              <w:rPr>
                <w:sz w:val="14"/>
                <w:szCs w:val="14"/>
                <w:rtl w:val="0"/>
              </w:rPr>
              <w:t xml:space="preserve">ENEA</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4"/>
                <w:szCs w:val="14"/>
                <w:rtl w:val="0"/>
              </w:rPr>
              <w:t xml:space="preserve">Scientific / MRV &amp; Water Validation Lead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4"/>
                <w:szCs w:val="14"/>
                <w:rtl w:val="0"/>
              </w:rPr>
              <w:t xml:space="preserve">WP3, WP4, WP5</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4"/>
                <w:szCs w:val="14"/>
                <w:rtl w:val="0"/>
              </w:rPr>
              <w:t xml:space="preserve">MRV, QA/QC, sensor validation, reference protocols, environmental indicators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4"/>
                <w:szCs w:val="14"/>
                <w:rtl w:val="0"/>
              </w:rPr>
              <w:t xml:space="preserve">Very high</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4"/>
                <w:szCs w:val="14"/>
                <w:rtl w:val="0"/>
              </w:rPr>
              <w:t xml:space="preserve">Med-High</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4"/>
                <w:szCs w:val="14"/>
                <w:rtl w:val="0"/>
              </w:rPr>
              <w:t xml:space="preserve">P1</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4"/>
                <w:szCs w:val="14"/>
                <w:rtl w:val="0"/>
              </w:rPr>
              <w:t xml:space="preserve">Immediate</w:t>
            </w:r>
            <w:r w:rsidDel="00000000" w:rsidR="00000000" w:rsidRPr="00000000">
              <w:rPr>
                <w:rtl w:val="0"/>
              </w:rPr>
            </w:r>
          </w:p>
        </w:tc>
      </w:tr>
      <w:tr>
        <w:trPr>
          <w:cantSplit w:val="1"/>
          <w:tblHeader w:val="0"/>
        </w:trPr>
        <w:tc>
          <w:tcPr/>
          <w:p w:rsidR="00000000" w:rsidDel="00000000" w:rsidP="00000000" w:rsidRDefault="00000000" w:rsidRPr="00000000" w14:paraId="00000027">
            <w:pPr>
              <w:rPr/>
            </w:pPr>
            <w:r w:rsidDel="00000000" w:rsidR="00000000" w:rsidRPr="00000000">
              <w:rPr>
                <w:sz w:val="14"/>
                <w:szCs w:val="14"/>
                <w:rtl w:val="0"/>
              </w:rPr>
              <w:t xml:space="preserve">Hera</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4"/>
                <w:szCs w:val="14"/>
                <w:rtl w:val="0"/>
              </w:rPr>
              <w:t xml:space="preserve">Pilot / Water Utility Partner</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4"/>
                <w:szCs w:val="14"/>
                <w:rtl w:val="0"/>
              </w:rPr>
              <w:t xml:space="preserve">WP4</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4"/>
                <w:szCs w:val="14"/>
                <w:rtl w:val="0"/>
              </w:rPr>
              <w:t xml:space="preserve">Pilot site, operational data, utility expertise, industrial validation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4"/>
                <w:szCs w:val="14"/>
                <w:rtl w:val="0"/>
              </w:rPr>
              <w:t xml:space="preserve">Very high</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4"/>
                <w:szCs w:val="14"/>
                <w:rtl w:val="0"/>
              </w:rPr>
              <w:t xml:space="preserve">Med-High</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4"/>
                <w:szCs w:val="14"/>
                <w:rtl w:val="0"/>
              </w:rPr>
              <w:t xml:space="preserve">P1</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4"/>
                <w:szCs w:val="14"/>
                <w:rtl w:val="0"/>
              </w:rPr>
              <w:t xml:space="preserve">Immediate</w:t>
            </w:r>
            <w:r w:rsidDel="00000000" w:rsidR="00000000" w:rsidRPr="00000000">
              <w:rPr>
                <w:rtl w:val="0"/>
              </w:rPr>
            </w:r>
          </w:p>
        </w:tc>
      </w:tr>
      <w:tr>
        <w:trPr>
          <w:cantSplit w:val="1"/>
          <w:tblHeader w:val="0"/>
        </w:trPr>
        <w:tc>
          <w:tcPr/>
          <w:p w:rsidR="00000000" w:rsidDel="00000000" w:rsidP="00000000" w:rsidRDefault="00000000" w:rsidRPr="00000000" w14:paraId="0000002F">
            <w:pPr>
              <w:rPr/>
            </w:pPr>
            <w:r w:rsidDel="00000000" w:rsidR="00000000" w:rsidRPr="00000000">
              <w:rPr>
                <w:sz w:val="14"/>
                <w:szCs w:val="14"/>
                <w:rtl w:val="0"/>
              </w:rPr>
              <w:t xml:space="preserve">ATER​SIR</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4"/>
                <w:szCs w:val="14"/>
                <w:rtl w:val="0"/>
              </w:rPr>
              <w:t xml:space="preserve">Water Governance / Replication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4"/>
                <w:szCs w:val="14"/>
                <w:rtl w:val="0"/>
              </w:rPr>
              <w:t xml:space="preserve">WP6</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4"/>
                <w:szCs w:val="14"/>
                <w:rtl w:val="0"/>
              </w:rPr>
              <w:t xml:space="preserve">Governance, utility interface, transferability, institutional uptake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4"/>
                <w:szCs w:val="14"/>
                <w:rtl w:val="0"/>
              </w:rPr>
              <w:t xml:space="preserve">P2</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4"/>
                <w:szCs w:val="14"/>
                <w:rtl w:val="0"/>
              </w:rPr>
              <w:t xml:space="preserve">After pilot framing</w:t>
            </w:r>
            <w:r w:rsidDel="00000000" w:rsidR="00000000" w:rsidRPr="00000000">
              <w:rPr>
                <w:rtl w:val="0"/>
              </w:rPr>
            </w:r>
          </w:p>
        </w:tc>
      </w:tr>
      <w:tr>
        <w:trPr>
          <w:cantSplit w:val="1"/>
          <w:tblHeader w:val="0"/>
        </w:trPr>
        <w:tc>
          <w:tcPr/>
          <w:p w:rsidR="00000000" w:rsidDel="00000000" w:rsidP="00000000" w:rsidRDefault="00000000" w:rsidRPr="00000000" w14:paraId="00000037">
            <w:pPr>
              <w:rPr/>
            </w:pPr>
            <w:r w:rsidDel="00000000" w:rsidR="00000000" w:rsidRPr="00000000">
              <w:rPr>
                <w:sz w:val="14"/>
                <w:szCs w:val="14"/>
                <w:rtl w:val="0"/>
              </w:rPr>
              <w:t xml:space="preserve">ARPAE Emilia-Romagna</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4"/>
                <w:szCs w:val="14"/>
                <w:rtl w:val="0"/>
              </w:rPr>
              <w:t xml:space="preserve">Environmental Monitoring / Validation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4"/>
                <w:szCs w:val="14"/>
                <w:rtl w:val="0"/>
              </w:rPr>
              <w:t xml:space="preserve">WP3, WP4</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4"/>
                <w:szCs w:val="14"/>
                <w:rtl w:val="0"/>
              </w:rPr>
              <w:t xml:space="preserve">Monitoring methods, territorial indicators, institutional technical support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4"/>
                <w:szCs w:val="14"/>
                <w:rtl w:val="0"/>
              </w:rPr>
              <w:t xml:space="preserve">Med-Low</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4"/>
                <w:szCs w:val="14"/>
                <w:rtl w:val="0"/>
              </w:rPr>
              <w:t xml:space="preserve">P2</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4"/>
                <w:szCs w:val="14"/>
                <w:rtl w:val="0"/>
              </w:rPr>
              <w:t xml:space="preserve">Targeted</w:t>
            </w:r>
            <w:r w:rsidDel="00000000" w:rsidR="00000000" w:rsidRPr="00000000">
              <w:rPr>
                <w:rtl w:val="0"/>
              </w:rPr>
            </w:r>
          </w:p>
        </w:tc>
      </w:tr>
      <w:tr>
        <w:trPr>
          <w:cantSplit w:val="1"/>
          <w:tblHeader w:val="0"/>
        </w:trPr>
        <w:tc>
          <w:tcPr/>
          <w:p w:rsidR="00000000" w:rsidDel="00000000" w:rsidP="00000000" w:rsidRDefault="00000000" w:rsidRPr="00000000" w14:paraId="0000003F">
            <w:pPr>
              <w:rPr/>
            </w:pPr>
            <w:r w:rsidDel="00000000" w:rsidR="00000000" w:rsidRPr="00000000">
              <w:rPr>
                <w:sz w:val="14"/>
                <w:szCs w:val="14"/>
                <w:rtl w:val="0"/>
              </w:rPr>
              <w:t xml:space="preserve">Consorzio di Bonifica / CER</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4"/>
                <w:szCs w:val="14"/>
                <w:rtl w:val="0"/>
              </w:rPr>
              <w:t xml:space="preserve">End-user / Irrigation Replication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4"/>
                <w:szCs w:val="14"/>
                <w:rtl w:val="0"/>
              </w:rPr>
              <w:t xml:space="preserve">WP4, WP6</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4"/>
                <w:szCs w:val="14"/>
                <w:rtl w:val="0"/>
              </w:rPr>
              <w:t xml:space="preserve">Irrigation network, field adoption, end-user validation, replication</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4"/>
                <w:szCs w:val="14"/>
                <w:rtl w:val="0"/>
              </w:rPr>
              <w:t xml:space="preserve">High</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4"/>
                <w:szCs w:val="14"/>
                <w:rtl w:val="0"/>
              </w:rPr>
              <w:t xml:space="preserve">P2</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4"/>
                <w:szCs w:val="14"/>
                <w:rtl w:val="0"/>
              </w:rPr>
              <w:t xml:space="preserve">Targeted</w:t>
            </w:r>
            <w:r w:rsidDel="00000000" w:rsidR="00000000" w:rsidRPr="00000000">
              <w:rPr>
                <w:rtl w:val="0"/>
              </w:rPr>
            </w:r>
          </w:p>
        </w:tc>
      </w:tr>
      <w:tr>
        <w:trPr>
          <w:cantSplit w:val="1"/>
          <w:tblHeader w:val="0"/>
        </w:trPr>
        <w:tc>
          <w:tcPr/>
          <w:p w:rsidR="00000000" w:rsidDel="00000000" w:rsidP="00000000" w:rsidRDefault="00000000" w:rsidRPr="00000000" w14:paraId="00000047">
            <w:pPr>
              <w:rPr/>
            </w:pPr>
            <w:r w:rsidDel="00000000" w:rsidR="00000000" w:rsidRPr="00000000">
              <w:rPr>
                <w:sz w:val="14"/>
                <w:szCs w:val="14"/>
                <w:rtl w:val="0"/>
              </w:rPr>
              <w:t xml:space="preserve">University of Padua – DICEA</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4"/>
                <w:szCs w:val="14"/>
                <w:rtl w:val="0"/>
              </w:rPr>
              <w:t xml:space="preserve">Scientific modelling / contaminants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4"/>
                <w:szCs w:val="14"/>
                <w:rtl w:val="0"/>
              </w:rPr>
              <w:t xml:space="preserve">WP4, WP5</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4"/>
                <w:szCs w:val="14"/>
                <w:rtl w:val="0"/>
              </w:rPr>
              <w:t xml:space="preserve">Hydrological modelling, emerging contaminants, water-soil processes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4"/>
                <w:szCs w:val="14"/>
                <w:rtl w:val="0"/>
              </w:rPr>
              <w:t xml:space="preserve">High if needed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4"/>
                <w:szCs w:val="14"/>
                <w:rtl w:val="0"/>
              </w:rPr>
              <w:t xml:space="preserve">P2</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4"/>
                <w:szCs w:val="14"/>
                <w:rtl w:val="0"/>
              </w:rPr>
              <w:t xml:space="preserve">Gap-dependent</w:t>
            </w:r>
            <w:r w:rsidDel="00000000" w:rsidR="00000000" w:rsidRPr="00000000">
              <w:rPr>
                <w:rtl w:val="0"/>
              </w:rPr>
            </w:r>
          </w:p>
        </w:tc>
      </w:tr>
      <w:tr>
        <w:trPr>
          <w:cantSplit w:val="1"/>
          <w:tblHeader w:val="0"/>
        </w:trPr>
        <w:tc>
          <w:tcPr/>
          <w:p w:rsidR="00000000" w:rsidDel="00000000" w:rsidP="00000000" w:rsidRDefault="00000000" w:rsidRPr="00000000" w14:paraId="0000004F">
            <w:pPr>
              <w:rPr/>
            </w:pPr>
            <w:r w:rsidDel="00000000" w:rsidR="00000000" w:rsidRPr="00000000">
              <w:rPr>
                <w:sz w:val="14"/>
                <w:szCs w:val="14"/>
                <w:rtl w:val="0"/>
              </w:rPr>
              <w:t xml:space="preserve">ART-ER / Clust-ER Greentech</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4"/>
                <w:szCs w:val="14"/>
                <w:rtl w:val="0"/>
              </w:rPr>
              <w:t xml:space="preserve">Exploitation / Ecosystem</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4"/>
                <w:szCs w:val="14"/>
                <w:rtl w:val="0"/>
              </w:rPr>
              <w:t xml:space="preserve">WP6, WP7</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4"/>
                <w:szCs w:val="14"/>
                <w:rtl w:val="0"/>
              </w:rPr>
              <w:t xml:space="preserve">Technology transfer, business ecosystem, exploitation and dissemination</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4"/>
                <w:szCs w:val="14"/>
                <w:rtl w:val="0"/>
              </w:rPr>
              <w:t xml:space="preserve">Med-High</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4"/>
                <w:szCs w:val="14"/>
                <w:rtl w:val="0"/>
              </w:rPr>
              <w:t xml:space="preserve">Med-High</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4"/>
                <w:szCs w:val="14"/>
                <w:rtl w:val="0"/>
              </w:rPr>
              <w:t xml:space="preserve">P3</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4"/>
                <w:szCs w:val="14"/>
                <w:rtl w:val="0"/>
              </w:rPr>
              <w:t xml:space="preserve">Later</w:t>
            </w:r>
            <w:r w:rsidDel="00000000" w:rsidR="00000000" w:rsidRPr="00000000">
              <w:rPr>
                <w:rtl w:val="0"/>
              </w:rPr>
            </w:r>
          </w:p>
        </w:tc>
      </w:tr>
      <w:tr>
        <w:trPr>
          <w:cantSplit w:val="1"/>
          <w:tblHeader w:val="0"/>
        </w:trPr>
        <w:tc>
          <w:tcPr/>
          <w:p w:rsidR="00000000" w:rsidDel="00000000" w:rsidP="00000000" w:rsidRDefault="00000000" w:rsidRPr="00000000" w14:paraId="00000057">
            <w:pPr>
              <w:rPr/>
            </w:pPr>
            <w:r w:rsidDel="00000000" w:rsidR="00000000" w:rsidRPr="00000000">
              <w:rPr>
                <w:sz w:val="14"/>
                <w:szCs w:val="14"/>
                <w:rtl w:val="0"/>
              </w:rPr>
              <w:t xml:space="preserve">AWARE / university LCSA group</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4"/>
                <w:szCs w:val="14"/>
                <w:rtl w:val="0"/>
              </w:rPr>
              <w:t xml:space="preserve">Sustainability assessment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4"/>
                <w:szCs w:val="14"/>
                <w:rtl w:val="0"/>
              </w:rPr>
              <w:t xml:space="preserve">WP5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4"/>
                <w:szCs w:val="14"/>
                <w:rtl w:val="0"/>
              </w:rPr>
              <w:t xml:space="preserve">Life-cycle sustainability metrics and socio-economic assessment</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4"/>
                <w:szCs w:val="14"/>
                <w:rtl w:val="0"/>
              </w:rPr>
              <w:t xml:space="preserve">Medium</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4"/>
                <w:szCs w:val="14"/>
                <w:rtl w:val="0"/>
              </w:rPr>
              <w:t xml:space="preserve">P3</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4"/>
                <w:szCs w:val="14"/>
                <w:rtl w:val="0"/>
              </w:rPr>
              <w:t xml:space="preserve">Gap-dependent</w:t>
            </w:r>
            <w:r w:rsidDel="00000000" w:rsidR="00000000" w:rsidRPr="00000000">
              <w:rPr>
                <w:rtl w:val="0"/>
              </w:rPr>
            </w:r>
          </w:p>
        </w:tc>
      </w:tr>
    </w:tbl>
    <w:p w:rsidR="00000000" w:rsidDel="00000000" w:rsidP="00000000" w:rsidRDefault="00000000" w:rsidRPr="00000000" w14:paraId="0000005F">
      <w:pPr>
        <w:pStyle w:val="Heading1"/>
        <w:rPr/>
      </w:pPr>
      <w:r w:rsidDel="00000000" w:rsidR="00000000" w:rsidRPr="00000000">
        <w:rPr>
          <w:rtl w:val="0"/>
        </w:rPr>
        <w:t xml:space="preserve">Scoring interpretation</w:t>
      </w:r>
    </w:p>
    <w:p w:rsidR="00000000" w:rsidDel="00000000" w:rsidP="00000000" w:rsidRDefault="00000000" w:rsidRPr="00000000" w14:paraId="00000060">
      <w:pPr>
        <w:rPr/>
      </w:pPr>
      <w:r w:rsidDel="00000000" w:rsidR="00000000" w:rsidRPr="00000000">
        <w:rPr>
          <w:rtl w:val="0"/>
        </w:rPr>
        <w:t xml:space="preserve">P1 partners determine whether the proposal is credible and executable. P2 partners improve governance, validation or replication and should be added when their contribution is demonstrably distinct. P3 partners should be included only where they close a specific exploitation, dissemination or impact-assessment gap.</w:t>
      </w:r>
    </w:p>
    <w:p w:rsidR="00000000" w:rsidDel="00000000" w:rsidP="00000000" w:rsidRDefault="00000000" w:rsidRPr="00000000" w14:paraId="00000061">
      <w:pPr>
        <w:pStyle w:val="Heading1"/>
        <w:rPr/>
      </w:pPr>
      <w:r w:rsidDel="00000000" w:rsidR="00000000" w:rsidRPr="00000000">
        <w:rPr>
          <w:rtl w:val="0"/>
        </w:rPr>
        <w:t xml:space="preserve">Recommended outreach sequence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1. ENEA – validate interest in an MRV/water-validation leadership role and identify the scientific lead.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2. Hera – test availability of a demonstration site and access to operational data; explore continuity with existing ENEA-Hera activities.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3. Public/institutional coordinator – secure applicant role and administrative ownership.</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4. ATERSIR / reclamation consortium – anchor governance, end-user adoption and replication.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5. Specialist university / ART-ER – add only after the technical and policy gaps are visible.</w:t>
      </w:r>
    </w:p>
    <w:p w:rsidR="00000000" w:rsidDel="00000000" w:rsidP="00000000" w:rsidRDefault="00000000" w:rsidRPr="00000000" w14:paraId="00000067">
      <w:pPr>
        <w:pStyle w:val="Heading1"/>
        <w:rPr/>
      </w:pPr>
      <w:r w:rsidDel="00000000" w:rsidR="00000000" w:rsidRPr="00000000">
        <w:rPr>
          <w:rtl w:val="0"/>
        </w:rPr>
        <w:t xml:space="preserve">Information to obtain from every candidate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Named technical and administrative contact.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Role accepted in the consortium and WP ownership.</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Available staff/person-months and indicative budget envelope.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Existing equipment, datasets, infrastructure and pilot access that can be contributed.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Expected deliverables and measurable contribution to project KPIs.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Legal entity/PIC readiness and internal approval timeline.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Potential conflicts, procurement constraints or third-party dependencies.</w:t>
      </w:r>
    </w:p>
    <w:p w:rsidR="00000000" w:rsidDel="00000000" w:rsidP="00000000" w:rsidRDefault="00000000" w:rsidRPr="00000000" w14:paraId="0000006F">
      <w:pPr>
        <w:pStyle w:val="Heading2"/>
        <w:spacing w:after="20" w:before="80" w:lineRule="auto"/>
        <w:rPr/>
      </w:pPr>
      <w:r w:rsidDel="00000000" w:rsidR="00000000" w:rsidRPr="00000000">
        <w:rPr>
          <w:sz w:val="16"/>
          <w:szCs w:val="16"/>
          <w:rtl w:val="0"/>
        </w:rPr>
        <w:t xml:space="preserve">Sources</w:t>
      </w:r>
      <w:r w:rsidDel="00000000" w:rsidR="00000000" w:rsidRPr="00000000">
        <w:rPr>
          <w:rtl w:val="0"/>
        </w:rPr>
      </w:r>
    </w:p>
    <w:p w:rsidR="00000000" w:rsidDel="00000000" w:rsidP="00000000" w:rsidRDefault="00000000" w:rsidRPr="00000000" w14:paraId="00000070">
      <w:pPr>
        <w:spacing w:after="0" w:line="216" w:lineRule="auto"/>
        <w:rPr/>
      </w:pPr>
      <w:r w:rsidDel="00000000" w:rsidR="00000000" w:rsidRPr="00000000">
        <w:rPr>
          <w:b w:val="1"/>
          <w:bCs w:val="1"/>
          <w:sz w:val="14"/>
          <w:szCs w:val="14"/>
          <w:rtl w:val="0"/>
        </w:rPr>
        <w:t xml:space="preserve">CINEA – LIFE Calls for proposals 2026: </w:t>
      </w:r>
      <w:r w:rsidDel="00000000" w:rsidR="00000000" w:rsidRPr="00000000">
        <w:rPr>
          <w:sz w:val="14"/>
          <w:szCs w:val="14"/>
          <w:rtl w:val="0"/>
        </w:rPr>
        <w:t xml:space="preserve">https://cinea.ec.europa.eu/life-calls-proposals-2026_en</w:t>
      </w:r>
      <w:r w:rsidDel="00000000" w:rsidR="00000000" w:rsidRPr="00000000">
        <w:rPr>
          <w:rtl w:val="0"/>
        </w:rPr>
      </w:r>
    </w:p>
    <w:p w:rsidR="00000000" w:rsidDel="00000000" w:rsidP="00000000" w:rsidRDefault="00000000" w:rsidRPr="00000000" w14:paraId="00000071">
      <w:pPr>
        <w:spacing w:after="0" w:line="216" w:lineRule="auto"/>
        <w:rPr/>
      </w:pPr>
      <w:r w:rsidDel="00000000" w:rsidR="00000000" w:rsidRPr="00000000">
        <w:rPr>
          <w:b w:val="1"/>
          <w:bCs w:val="1"/>
          <w:sz w:val="14"/>
          <w:szCs w:val="14"/>
          <w:rtl w:val="0"/>
        </w:rPr>
        <w:t xml:space="preserve">CINEA – LIFE-2026-SAP-ENV-ENVIRONMENT: </w:t>
      </w:r>
      <w:r w:rsidDel="00000000" w:rsidR="00000000" w:rsidRPr="00000000">
        <w:rPr>
          <w:sz w:val="14"/>
          <w:szCs w:val="14"/>
          <w:rtl w:val="0"/>
        </w:rPr>
        <w:t xml:space="preserve">https://cinea.ec.europa.eu/funding-opportunities/calls-proposals/standard-action-projects-saps-circular-economy-and-zero-pollution-environment-0_en</w:t>
      </w:r>
      <w:r w:rsidDel="00000000" w:rsidR="00000000" w:rsidRPr="00000000">
        <w:rPr>
          <w:rtl w:val="0"/>
        </w:rPr>
      </w:r>
    </w:p>
    <w:p w:rsidR="00000000" w:rsidDel="00000000" w:rsidP="00000000" w:rsidRDefault="00000000" w:rsidRPr="00000000" w14:paraId="00000072">
      <w:pPr>
        <w:spacing w:after="0" w:line="216" w:lineRule="auto"/>
        <w:rPr/>
      </w:pPr>
      <w:r w:rsidDel="00000000" w:rsidR="00000000" w:rsidRPr="00000000">
        <w:rPr>
          <w:b w:val="1"/>
          <w:bCs w:val="1"/>
          <w:sz w:val="14"/>
          <w:szCs w:val="14"/>
          <w:rtl w:val="0"/>
        </w:rPr>
        <w:t xml:space="preserve">ENEA – Ambiente: acque reflue, da ENEA e Hera nuove tecnologie per il riutilizzo (14 March 2024): </w:t>
      </w:r>
      <w:r w:rsidDel="00000000" w:rsidR="00000000" w:rsidRPr="00000000">
        <w:rPr>
          <w:sz w:val="14"/>
          <w:szCs w:val="14"/>
          <w:rtl w:val="0"/>
        </w:rPr>
        <w:t xml:space="preserve">https://www.media.enea.it/comunicati-e-news/archivio-anni/anno-2024/ambiente-acque-reflue-da-enea-e-hera-nuove-tecnologie-per-il-riutilizzo.html</w:t>
      </w:r>
      <w:r w:rsidDel="00000000" w:rsidR="00000000" w:rsidRPr="00000000">
        <w:rPr>
          <w:rtl w:val="0"/>
        </w:rPr>
      </w:r>
    </w:p>
    <w:p w:rsidR="00000000" w:rsidDel="00000000" w:rsidP="00000000" w:rsidRDefault="00000000" w:rsidRPr="00000000" w14:paraId="00000073">
      <w:pPr>
        <w:spacing w:after="0" w:line="216" w:lineRule="auto"/>
        <w:rPr/>
      </w:pPr>
      <w:r w:rsidDel="00000000" w:rsidR="00000000" w:rsidRPr="00000000">
        <w:rPr>
          <w:b w:val="1"/>
          <w:bCs w:val="1"/>
          <w:sz w:val="14"/>
          <w:szCs w:val="14"/>
          <w:rtl w:val="0"/>
        </w:rPr>
        <w:t xml:space="preserve">Regione Emilia-Romagna, BURERT n. 98/2026 – accordo Regione, ATERSIR, Hera, Consorzio Bonifica Renana: </w:t>
      </w:r>
      <w:r w:rsidDel="00000000" w:rsidR="00000000" w:rsidRPr="00000000">
        <w:rPr>
          <w:sz w:val="14"/>
          <w:szCs w:val="14"/>
          <w:rtl w:val="0"/>
        </w:rPr>
        <w:t xml:space="preserve">https://bur.regione.emilia-romagna.it/dettaglio-inserzione?i=ce5857b3d73f4b6a9a2bdd5721dd34e8</w:t>
      </w:r>
      <w:r w:rsidDel="00000000" w:rsidR="00000000" w:rsidRPr="00000000">
        <w:rPr>
          <w:rtl w:val="0"/>
        </w:rPr>
      </w:r>
    </w:p>
    <w:p w:rsidR="00000000" w:rsidDel="00000000" w:rsidP="00000000" w:rsidRDefault="00000000" w:rsidRPr="00000000" w14:paraId="00000074">
      <w:pPr>
        <w:spacing w:after="0" w:line="216" w:lineRule="auto"/>
        <w:rPr/>
      </w:pPr>
      <w:r w:rsidDel="00000000" w:rsidR="00000000" w:rsidRPr="00000000">
        <w:rPr>
          <w:b w:val="1"/>
          <w:bCs w:val="1"/>
          <w:sz w:val="14"/>
          <w:szCs w:val="14"/>
          <w:rtl w:val="0"/>
        </w:rPr>
        <w:t xml:space="preserve">Regione Emilia-Romagna, BURERT n. 125/2026 – rinnovo accordo riuso acque reflue: </w:t>
      </w:r>
      <w:r w:rsidDel="00000000" w:rsidR="00000000" w:rsidRPr="00000000">
        <w:rPr>
          <w:sz w:val="14"/>
          <w:szCs w:val="14"/>
          <w:rtl w:val="0"/>
        </w:rPr>
        <w:t xml:space="preserve">https://bur.regione.emilia-romagna.it/dettaglio-inserzione?i=96357f100455499295b27b6f38b1f813</w:t>
      </w:r>
      <w:r w:rsidDel="00000000" w:rsidR="00000000" w:rsidRPr="00000000">
        <w:rPr>
          <w:rtl w:val="0"/>
        </w:rPr>
      </w:r>
    </w:p>
    <w:sectPr>
      <w:headerReference r:id="rId6" w:type="default"/>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Confidential working material – MyZubster LIFE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Partner Matrix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7d7a"/>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4e79"/>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