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SECURITY AUDIT &amp; VULNERABILITY ASSESSMENT REPORT</w:t>
      </w:r>
    </w:p>
    <w:p>
      <w:pPr>
        <w:jc w:val="center"/>
      </w:pPr>
      <w:r>
        <w:rPr>
          <w:color w:val="64748B"/>
          <w:sz w:val="22"/>
        </w:rPr>
        <w:t>Media Infotech Platform • Complete Codebase Security Review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Ref &amp; Severity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Vulnerability Details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Affected Location</w:t>
            </w:r>
          </w:p>
        </w:tc>
        <w:tc>
          <w:tcPr>
            <w:tcW w:type="dxa" w:w="2592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Recommended Remediation</w:t>
            </w:r>
          </w:p>
        </w:tc>
      </w:tr>
      <w:tr>
        <w:tc>
          <w:tcPr>
            <w:tcW w:type="dxa" w:w="1728"/>
            <w:vAlign w:val="center"/>
            <w:shd w:val="clear" w:color="auto" w:fill="FFF1F2"/>
          </w:tcPr>
          <w:p>
            <w:r>
              <w:rPr>
                <w:b/>
                <w:sz w:val="18"/>
              </w:rPr>
              <w:t>SEC-01</w:t>
              <w:br/>
            </w:r>
            <w:r>
              <w:rPr>
                <w:b/>
                <w:color w:val="E11D48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Insecure Direct Object Reference (IDOR) &amp; Mass-Assignment on Employee Dossiers</w:t>
              <w:br/>
            </w:r>
            <w:r>
              <w:rPr>
                <w:color w:val="475569"/>
                <w:sz w:val="16"/>
              </w:rPr>
              <w:t>Impact: Unrestricted profile &amp; financial updates (CTC, bank details, pan, manager) across all employee accounts.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Mediainfotech-Server/src/controllers/user.controller.ts (L171-L225)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Enforce req.user.id check or require ADMIN/HR role; strip restricted fields from non-admin payload.</w:t>
            </w:r>
          </w:p>
        </w:tc>
      </w:tr>
      <w:tr>
        <w:tc>
          <w:tcPr>
            <w:tcW w:type="dxa" w:w="1728"/>
            <w:vAlign w:val="center"/>
            <w:shd w:val="clear" w:color="auto" w:fill="FFF1F2"/>
          </w:tcPr>
          <w:p>
            <w:r>
              <w:rPr>
                <w:b/>
                <w:sz w:val="18"/>
              </w:rPr>
              <w:t>SEC-02</w:t>
              <w:br/>
            </w:r>
            <w:r>
              <w:rPr>
                <w:b/>
                <w:color w:val="E11D48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Salary Structure &amp; Compensation Breakdown IDOR Leakage</w:t>
              <w:br/>
            </w:r>
            <w:r>
              <w:rPr>
                <w:color w:val="475569"/>
                <w:sz w:val="16"/>
              </w:rPr>
              <w:t>Impact: Regular employees can query full compensation (Basic Pay, HRA, PF, CTC) of any colleague or executive.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Mediainfotech-Server/src/controllers/payslip.controller.ts (L5-L25)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Restrict GET /api/payslips/salary-structure to own userId unless user has ADMIN, HR, or ACCOUNTS role.</w:t>
            </w:r>
          </w:p>
        </w:tc>
      </w:tr>
      <w:tr>
        <w:tc>
          <w:tcPr>
            <w:tcW w:type="dxa" w:w="1728"/>
            <w:vAlign w:val="center"/>
            <w:shd w:val="clear" w:color="auto" w:fill="FFF1F2"/>
          </w:tcPr>
          <w:p>
            <w:r>
              <w:rPr>
                <w:b/>
                <w:sz w:val="18"/>
              </w:rPr>
              <w:t>SEC-03</w:t>
              <w:br/>
            </w:r>
            <w:r>
              <w:rPr>
                <w:b/>
                <w:color w:val="E11D48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Unauthorized Document Vault Deletion without Ownership Verification</w:t>
              <w:br/>
            </w:r>
            <w:r>
              <w:rPr>
                <w:color w:val="475569"/>
                <w:sz w:val="16"/>
              </w:rPr>
              <w:t>Impact: Any authenticated user can delete employment contracts, NDAs, and ID proofs of other employees.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Mediainfotech-Server/src/controllers/user.controller.ts (L447-L455)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Verify document ownership (doc.userId === req.user.id) or require ADMIN/HR permissions before deletion.</w:t>
            </w:r>
          </w:p>
        </w:tc>
      </w:tr>
      <w:tr>
        <w:tc>
          <w:tcPr>
            <w:tcW w:type="dxa" w:w="1728"/>
            <w:vAlign w:val="center"/>
            <w:shd w:val="clear" w:color="auto" w:fill="FFF1F2"/>
          </w:tcPr>
          <w:p>
            <w:r>
              <w:rPr>
                <w:b/>
                <w:sz w:val="18"/>
              </w:rPr>
              <w:t>SEC-04</w:t>
              <w:br/>
            </w:r>
            <w:r>
              <w:rPr>
                <w:b/>
                <w:color w:val="E11D48"/>
                <w:sz w:val="17"/>
              </w:rPr>
              <w:t>HIGH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WebSocket Private &amp; Direct Channel Authorization Bypass</w:t>
              <w:br/>
            </w:r>
            <w:r>
              <w:rPr>
                <w:color w:val="475569"/>
                <w:sz w:val="16"/>
              </w:rPr>
              <w:t>Impact: Users can inject messages into private executive channels or direct conversations without membership.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Mediainfotech-Server/src/socket/index.ts (L173-L215)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Check prisma.chatParticipant membership on join_channel and send_message events before database insert.</w:t>
            </w:r>
          </w:p>
        </w:tc>
      </w:tr>
      <w:tr>
        <w:tc>
          <w:tcPr>
            <w:tcW w:type="dxa" w:w="1728"/>
            <w:vAlign w:val="center"/>
            <w:shd w:val="clear" w:color="auto" w:fill="FFFBEB"/>
          </w:tcPr>
          <w:p>
            <w:r>
              <w:rPr>
                <w:b/>
                <w:sz w:val="18"/>
              </w:rPr>
              <w:t>SEC-05</w:t>
              <w:br/>
            </w:r>
            <w:r>
              <w:rPr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Permissive CORS Dynamic Reflection with Allowed Credentials</w:t>
              <w:br/>
            </w:r>
            <w:r>
              <w:rPr>
                <w:color w:val="475569"/>
                <w:sz w:val="16"/>
              </w:rPr>
              <w:t>Impact: Reflects any origin with credentials: true, enabling potential Cross-Origin resource abuse.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Mediainfotech-Server/src/index.ts (L50-L60) &amp; socket/index.ts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Replace dynamic reflection callback with strict whitelist array of allowed domains in production.</w:t>
            </w:r>
          </w:p>
        </w:tc>
      </w:tr>
      <w:tr>
        <w:tc>
          <w:tcPr>
            <w:tcW w:type="dxa" w:w="1728"/>
            <w:vAlign w:val="center"/>
            <w:shd w:val="clear" w:color="auto" w:fill="FFFBEB"/>
          </w:tcPr>
          <w:p>
            <w:r>
              <w:rPr>
                <w:b/>
                <w:sz w:val="18"/>
              </w:rPr>
              <w:t>SEC-06</w:t>
              <w:br/>
            </w:r>
            <w:r>
              <w:rPr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Hardcoded JWT Secret Fallbacks in Production Code</w:t>
              <w:br/>
            </w:r>
            <w:r>
              <w:rPr>
                <w:color w:val="475569"/>
                <w:sz w:val="16"/>
              </w:rPr>
              <w:t>Impact: If .env is missing, predictable fallback keys allow token forgery.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Mediainfotech-Server/src/utils/jwt.ts (L3-L5)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Throw fatal startup error if JWT_SECRET or JWT_REFRESH_SECRET environment variables are missing.</w:t>
            </w:r>
          </w:p>
        </w:tc>
      </w:tr>
      <w:tr>
        <w:tc>
          <w:tcPr>
            <w:tcW w:type="dxa" w:w="1728"/>
            <w:vAlign w:val="center"/>
            <w:shd w:val="clear" w:color="auto" w:fill="FFFBEB"/>
          </w:tcPr>
          <w:p>
            <w:r>
              <w:rPr>
                <w:b/>
                <w:sz w:val="18"/>
              </w:rPr>
              <w:t>SEC-07</w:t>
              <w:br/>
            </w:r>
            <w:r>
              <w:rPr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Missing Route-Level RBAC Guards on Employee Offboarding &amp; Purge</w:t>
              <w:br/>
            </w:r>
            <w:r>
              <w:rPr>
                <w:color w:val="475569"/>
                <w:sz w:val="16"/>
              </w:rPr>
              <w:t>Impact: Offboard, reactivate, and permanent purge endpoints lack explicit route-level middleware checks.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Mediainfotech-Server/src/routes/user.routes.ts (L43-L46)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Attach requirePermission('users', 'update') and requirePermission('users', 'delete') middleware.</w:t>
            </w:r>
          </w:p>
        </w:tc>
      </w:tr>
      <w:tr>
        <w:tc>
          <w:tcPr>
            <w:tcW w:type="dxa" w:w="1728"/>
            <w:vAlign w:val="center"/>
            <w:shd w:val="clear" w:color="auto" w:fill="F0FDF4"/>
          </w:tcPr>
          <w:p>
            <w:r>
              <w:rPr>
                <w:b/>
                <w:sz w:val="18"/>
              </w:rPr>
              <w:t>SEC-08</w:t>
              <w:br/>
            </w:r>
            <w:r>
              <w:rPr>
                <w:b/>
                <w:color w:val="10B981"/>
                <w:sz w:val="17"/>
              </w:rPr>
              <w:t>LOW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7"/>
              </w:rPr>
              <w:t>Lack of WebSocket Event Throttling &amp; Geolocation Range Validation</w:t>
              <w:br/>
            </w:r>
            <w:r>
              <w:rPr>
                <w:color w:val="475569"/>
                <w:sz w:val="16"/>
              </w:rPr>
              <w:t>Impact: Risk of socket message flooding and out-of-range latitude/longitude coordinates causing DB exceptions.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1E293B"/>
                <w:sz w:val="16"/>
              </w:rPr>
              <w:t>Mediainfotech-Server/src/socket/index.ts &amp; attendance.controller.ts</w:t>
            </w:r>
          </w:p>
        </w:tc>
        <w:tc>
          <w:tcPr>
            <w:tcW w:type="dxa" w:w="2592"/>
            <w:vAlign w:val="center"/>
          </w:tcPr>
          <w:p>
            <w:r>
              <w:rPr>
                <w:color w:val="0F172A"/>
                <w:sz w:val="16"/>
              </w:rPr>
              <w:t>Add socket event sliding window limiter and bound lat (-90 to 90), lng (-180 to 180).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