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7B566" w14:textId="77777777" w:rsidR="00A54B78" w:rsidRPr="00A54B78" w:rsidRDefault="00A54B78" w:rsidP="00A54B78">
      <w:pPr>
        <w:pStyle w:val="Heading1"/>
      </w:pPr>
      <w:r w:rsidRPr="00A54B78">
        <w:t>Currency Exchange</w:t>
      </w:r>
    </w:p>
    <w:p w14:paraId="10F6F069" w14:textId="77777777" w:rsidR="00A54B78" w:rsidRPr="00A54B78" w:rsidRDefault="00A54B78" w:rsidP="00A54B78">
      <w:r w:rsidRPr="00A54B78">
        <w:t xml:space="preserve">Since the Central Bank of Myanmar (CBM) approved selected private banks to conduct foreign exchange operations starting from October 2011, </w:t>
      </w:r>
      <w:proofErr w:type="spellStart"/>
      <w:r w:rsidRPr="00A54B78">
        <w:t>Kanbawza</w:t>
      </w:r>
      <w:proofErr w:type="spellEnd"/>
      <w:r w:rsidRPr="00A54B78">
        <w:t xml:space="preserve"> (KBZ) Bank have operated the following foreign currencies </w:t>
      </w:r>
      <w:proofErr w:type="gramStart"/>
      <w:r w:rsidRPr="00A54B78">
        <w:t>in order to</w:t>
      </w:r>
      <w:proofErr w:type="gramEnd"/>
      <w:r w:rsidRPr="00A54B78">
        <w:t xml:space="preserve"> provide the more efficient flows of foreign trade and investments for the local and international customer alike.</w:t>
      </w:r>
    </w:p>
    <w:p w14:paraId="6C71A443" w14:textId="77777777" w:rsidR="00A54B78" w:rsidRPr="00A54B78" w:rsidRDefault="00A54B78" w:rsidP="00A54B78">
      <w:r w:rsidRPr="00A54B78">
        <w:rPr>
          <w:b/>
          <w:bCs/>
        </w:rPr>
        <w:t>Available Currency</w:t>
      </w:r>
    </w:p>
    <w:p w14:paraId="5EB7A06A" w14:textId="77777777" w:rsidR="00A54B78" w:rsidRPr="00A54B78" w:rsidRDefault="00A54B78" w:rsidP="00A54B78">
      <w:r w:rsidRPr="00A54B78">
        <w:t>US Dollars (USD)</w:t>
      </w:r>
    </w:p>
    <w:p w14:paraId="4591E8EF" w14:textId="77777777" w:rsidR="00A54B78" w:rsidRPr="00A54B78" w:rsidRDefault="00A54B78" w:rsidP="00A54B78">
      <w:r w:rsidRPr="00A54B78">
        <w:t>Euro (EUR)</w:t>
      </w:r>
    </w:p>
    <w:p w14:paraId="09A1FE48" w14:textId="77777777" w:rsidR="00A54B78" w:rsidRPr="00A54B78" w:rsidRDefault="00A54B78" w:rsidP="00A54B78">
      <w:r w:rsidRPr="00A54B78">
        <w:t>Singapore Dollar (SD)</w:t>
      </w:r>
    </w:p>
    <w:p w14:paraId="26A4C163" w14:textId="77777777" w:rsidR="00A54B78" w:rsidRPr="00A54B78" w:rsidRDefault="00A54B78" w:rsidP="00A54B78">
      <w:r w:rsidRPr="00A54B78">
        <w:t>Thai (Baht)</w:t>
      </w:r>
    </w:p>
    <w:p w14:paraId="199BB368" w14:textId="77777777" w:rsidR="00A54B78" w:rsidRPr="00A54B78" w:rsidRDefault="00A54B78" w:rsidP="00A54B78">
      <w:r w:rsidRPr="00A54B78">
        <w:rPr>
          <w:b/>
          <w:bCs/>
        </w:rPr>
        <w:t>Foreign Exchange (FX) counters for (Petty Cash)</w:t>
      </w:r>
    </w:p>
    <w:p w14:paraId="053E585A" w14:textId="77777777" w:rsidR="00A54B78" w:rsidRPr="00A54B78" w:rsidRDefault="00A54B78" w:rsidP="00A54B78">
      <w:r w:rsidRPr="00A54B78">
        <w:t>In its ongoing effort to cater to the foreign currency requirements of individuals traveling abroad for the following reasons, KBZ Bank is continuously selling up to 500 USD or its equivalent in foreign currency. </w:t>
      </w:r>
    </w:p>
    <w:p w14:paraId="43D037AE" w14:textId="77777777" w:rsidR="00A54B78" w:rsidRPr="00A54B78" w:rsidRDefault="00A54B78" w:rsidP="00A54B78">
      <w:r w:rsidRPr="00A54B78">
        <w:t>1. Offshore Job</w:t>
      </w:r>
    </w:p>
    <w:p w14:paraId="25F4F6E3" w14:textId="77777777" w:rsidR="00A54B78" w:rsidRPr="00A54B78" w:rsidRDefault="00A54B78" w:rsidP="00A54B78">
      <w:r w:rsidRPr="00A54B78">
        <w:t>2. Education</w:t>
      </w:r>
    </w:p>
    <w:p w14:paraId="41B032CA" w14:textId="77777777" w:rsidR="00A54B78" w:rsidRPr="00A54B78" w:rsidRDefault="00A54B78" w:rsidP="00A54B78">
      <w:r w:rsidRPr="00A54B78">
        <w:t>3. Medical Purposes</w:t>
      </w:r>
    </w:p>
    <w:p w14:paraId="1F993E6F" w14:textId="77777777" w:rsidR="00A54B78" w:rsidRPr="00A54B78" w:rsidRDefault="00A54B78" w:rsidP="00A54B78">
      <w:r w:rsidRPr="00A54B78">
        <w:t>4. Pilgrimage</w:t>
      </w:r>
    </w:p>
    <w:p w14:paraId="54FCF400" w14:textId="77777777" w:rsidR="00A54B78" w:rsidRPr="00A54B78" w:rsidRDefault="00A54B78" w:rsidP="00A54B78">
      <w:r w:rsidRPr="00A54B78">
        <w:t>5. Attending meetings (invited by Foreign Governments/ Organizations)</w:t>
      </w:r>
    </w:p>
    <w:p w14:paraId="07298F60" w14:textId="77777777" w:rsidR="00A54B78" w:rsidRPr="00A54B78" w:rsidRDefault="00A54B78" w:rsidP="00A54B78">
      <w:r w:rsidRPr="00A54B78">
        <w:rPr>
          <w:b/>
          <w:bCs/>
        </w:rPr>
        <w:t>Available Counters</w:t>
      </w:r>
    </w:p>
    <w:tbl>
      <w:tblPr>
        <w:tblW w:w="17400" w:type="dxa"/>
        <w:tblCellMar>
          <w:left w:w="0" w:type="dxa"/>
          <w:right w:w="0" w:type="dxa"/>
        </w:tblCellMar>
        <w:tblLook w:val="04A0" w:firstRow="1" w:lastRow="0" w:firstColumn="1" w:lastColumn="0" w:noHBand="0" w:noVBand="1"/>
      </w:tblPr>
      <w:tblGrid>
        <w:gridCol w:w="4648"/>
        <w:gridCol w:w="12752"/>
      </w:tblGrid>
      <w:tr w:rsidR="00A54B78" w:rsidRPr="00A54B78" w14:paraId="3442F83F" w14:textId="77777777">
        <w:tc>
          <w:tcPr>
            <w:tcW w:w="0" w:type="auto"/>
            <w:vMerge w:val="restart"/>
            <w:tcBorders>
              <w:top w:val="single" w:sz="6" w:space="0" w:color="auto"/>
              <w:left w:val="single" w:sz="6" w:space="0" w:color="auto"/>
              <w:bottom w:val="single" w:sz="6" w:space="0" w:color="auto"/>
              <w:right w:val="single" w:sz="6" w:space="0" w:color="auto"/>
            </w:tcBorders>
            <w:tcMar>
              <w:top w:w="150" w:type="dxa"/>
              <w:left w:w="150" w:type="dxa"/>
              <w:bottom w:w="150" w:type="dxa"/>
              <w:right w:w="150" w:type="dxa"/>
            </w:tcMar>
            <w:vAlign w:val="bottom"/>
            <w:hideMark/>
          </w:tcPr>
          <w:p w14:paraId="606E1483" w14:textId="77777777" w:rsidR="00A54B78" w:rsidRPr="00A54B78" w:rsidRDefault="00A54B78" w:rsidP="00A54B78">
            <w:r w:rsidRPr="00A54B78">
              <w:t>Yangon</w:t>
            </w:r>
          </w:p>
        </w:tc>
        <w:tc>
          <w:tcPr>
            <w:tcW w:w="0" w:type="auto"/>
            <w:tcBorders>
              <w:top w:val="single" w:sz="6" w:space="0" w:color="auto"/>
              <w:left w:val="single" w:sz="6" w:space="0" w:color="auto"/>
              <w:bottom w:val="single" w:sz="6" w:space="0" w:color="auto"/>
              <w:right w:val="single" w:sz="6" w:space="0" w:color="auto"/>
            </w:tcBorders>
            <w:tcMar>
              <w:top w:w="150" w:type="dxa"/>
              <w:left w:w="150" w:type="dxa"/>
              <w:bottom w:w="150" w:type="dxa"/>
              <w:right w:w="150" w:type="dxa"/>
            </w:tcMar>
            <w:vAlign w:val="bottom"/>
            <w:hideMark/>
          </w:tcPr>
          <w:p w14:paraId="7A15E018" w14:textId="77777777" w:rsidR="00A54B78" w:rsidRPr="00A54B78" w:rsidRDefault="00A54B78" w:rsidP="00A54B78">
            <w:r w:rsidRPr="00A54B78">
              <w:t>9 Miles Branch</w:t>
            </w:r>
          </w:p>
        </w:tc>
      </w:tr>
      <w:tr w:rsidR="00A54B78" w:rsidRPr="00A54B78" w14:paraId="27567A2B" w14:textId="77777777">
        <w:tc>
          <w:tcPr>
            <w:tcW w:w="0" w:type="auto"/>
            <w:vMerge/>
            <w:tcBorders>
              <w:top w:val="single" w:sz="6" w:space="0" w:color="auto"/>
              <w:left w:val="single" w:sz="6" w:space="0" w:color="auto"/>
              <w:bottom w:val="single" w:sz="6" w:space="0" w:color="auto"/>
              <w:right w:val="single" w:sz="6" w:space="0" w:color="auto"/>
            </w:tcBorders>
            <w:vAlign w:val="bottom"/>
            <w:hideMark/>
          </w:tcPr>
          <w:p w14:paraId="083A68B9" w14:textId="77777777" w:rsidR="00A54B78" w:rsidRPr="00A54B78" w:rsidRDefault="00A54B78" w:rsidP="00A54B78"/>
        </w:tc>
        <w:tc>
          <w:tcPr>
            <w:tcW w:w="0" w:type="auto"/>
            <w:tcBorders>
              <w:top w:val="single" w:sz="6" w:space="0" w:color="auto"/>
              <w:left w:val="single" w:sz="6" w:space="0" w:color="auto"/>
              <w:bottom w:val="single" w:sz="6" w:space="0" w:color="auto"/>
              <w:right w:val="single" w:sz="6" w:space="0" w:color="auto"/>
            </w:tcBorders>
            <w:tcMar>
              <w:top w:w="150" w:type="dxa"/>
              <w:left w:w="150" w:type="dxa"/>
              <w:bottom w:w="150" w:type="dxa"/>
              <w:right w:w="150" w:type="dxa"/>
            </w:tcMar>
            <w:vAlign w:val="bottom"/>
            <w:hideMark/>
          </w:tcPr>
          <w:p w14:paraId="43D040E5" w14:textId="77777777" w:rsidR="00A54B78" w:rsidRPr="00A54B78" w:rsidRDefault="00A54B78" w:rsidP="00A54B78">
            <w:r w:rsidRPr="00A54B78">
              <w:t>People’s Park Branch</w:t>
            </w:r>
          </w:p>
        </w:tc>
      </w:tr>
      <w:tr w:rsidR="00A54B78" w:rsidRPr="00A54B78" w14:paraId="504ADBB7" w14:textId="77777777">
        <w:tc>
          <w:tcPr>
            <w:tcW w:w="0" w:type="auto"/>
            <w:vMerge/>
            <w:tcBorders>
              <w:top w:val="single" w:sz="6" w:space="0" w:color="auto"/>
              <w:left w:val="single" w:sz="6" w:space="0" w:color="auto"/>
              <w:bottom w:val="single" w:sz="6" w:space="0" w:color="auto"/>
              <w:right w:val="single" w:sz="6" w:space="0" w:color="auto"/>
            </w:tcBorders>
            <w:vAlign w:val="bottom"/>
            <w:hideMark/>
          </w:tcPr>
          <w:p w14:paraId="3B998974" w14:textId="77777777" w:rsidR="00A54B78" w:rsidRPr="00A54B78" w:rsidRDefault="00A54B78" w:rsidP="00A54B78"/>
        </w:tc>
        <w:tc>
          <w:tcPr>
            <w:tcW w:w="0" w:type="auto"/>
            <w:tcBorders>
              <w:top w:val="single" w:sz="6" w:space="0" w:color="auto"/>
              <w:left w:val="single" w:sz="6" w:space="0" w:color="auto"/>
              <w:bottom w:val="single" w:sz="6" w:space="0" w:color="auto"/>
              <w:right w:val="single" w:sz="6" w:space="0" w:color="auto"/>
            </w:tcBorders>
            <w:tcMar>
              <w:top w:w="150" w:type="dxa"/>
              <w:left w:w="150" w:type="dxa"/>
              <w:bottom w:w="150" w:type="dxa"/>
              <w:right w:w="150" w:type="dxa"/>
            </w:tcMar>
            <w:vAlign w:val="bottom"/>
            <w:hideMark/>
          </w:tcPr>
          <w:p w14:paraId="0C3B0C13" w14:textId="77777777" w:rsidR="00A54B78" w:rsidRPr="00A54B78" w:rsidRDefault="00A54B78" w:rsidP="00A54B78">
            <w:r w:rsidRPr="00A54B78">
              <w:t>Yangon International Airport (Arrival)</w:t>
            </w:r>
          </w:p>
        </w:tc>
      </w:tr>
      <w:tr w:rsidR="00A54B78" w:rsidRPr="00A54B78" w14:paraId="53C19B3A" w14:textId="77777777">
        <w:tc>
          <w:tcPr>
            <w:tcW w:w="0" w:type="auto"/>
            <w:vMerge w:val="restart"/>
            <w:tcBorders>
              <w:top w:val="single" w:sz="6" w:space="0" w:color="auto"/>
              <w:left w:val="single" w:sz="6" w:space="0" w:color="auto"/>
              <w:bottom w:val="single" w:sz="6" w:space="0" w:color="auto"/>
              <w:right w:val="single" w:sz="6" w:space="0" w:color="auto"/>
            </w:tcBorders>
            <w:tcMar>
              <w:top w:w="150" w:type="dxa"/>
              <w:left w:w="150" w:type="dxa"/>
              <w:bottom w:w="150" w:type="dxa"/>
              <w:right w:w="150" w:type="dxa"/>
            </w:tcMar>
            <w:vAlign w:val="bottom"/>
            <w:hideMark/>
          </w:tcPr>
          <w:p w14:paraId="62DBD8C4" w14:textId="77777777" w:rsidR="00A54B78" w:rsidRPr="00A54B78" w:rsidRDefault="00A54B78" w:rsidP="00A54B78">
            <w:r w:rsidRPr="00A54B78">
              <w:lastRenderedPageBreak/>
              <w:t>Mandalay   </w:t>
            </w:r>
          </w:p>
        </w:tc>
        <w:tc>
          <w:tcPr>
            <w:tcW w:w="0" w:type="auto"/>
            <w:tcBorders>
              <w:top w:val="single" w:sz="6" w:space="0" w:color="auto"/>
              <w:left w:val="single" w:sz="6" w:space="0" w:color="auto"/>
              <w:bottom w:val="single" w:sz="6" w:space="0" w:color="auto"/>
              <w:right w:val="single" w:sz="6" w:space="0" w:color="auto"/>
            </w:tcBorders>
            <w:tcMar>
              <w:top w:w="150" w:type="dxa"/>
              <w:left w:w="150" w:type="dxa"/>
              <w:bottom w:w="150" w:type="dxa"/>
              <w:right w:w="150" w:type="dxa"/>
            </w:tcMar>
            <w:vAlign w:val="bottom"/>
            <w:hideMark/>
          </w:tcPr>
          <w:p w14:paraId="2717B684" w14:textId="77777777" w:rsidR="00A54B78" w:rsidRPr="00A54B78" w:rsidRDefault="00A54B78" w:rsidP="00A54B78">
            <w:r w:rsidRPr="00A54B78">
              <w:t>Mandalay Branch-36 (Mandalay IBD)</w:t>
            </w:r>
          </w:p>
        </w:tc>
      </w:tr>
      <w:tr w:rsidR="00A54B78" w:rsidRPr="00A54B78" w14:paraId="25A4AF9E" w14:textId="77777777">
        <w:tc>
          <w:tcPr>
            <w:tcW w:w="0" w:type="auto"/>
            <w:vMerge/>
            <w:tcBorders>
              <w:top w:val="single" w:sz="6" w:space="0" w:color="auto"/>
              <w:left w:val="single" w:sz="6" w:space="0" w:color="auto"/>
              <w:bottom w:val="single" w:sz="6" w:space="0" w:color="auto"/>
              <w:right w:val="single" w:sz="6" w:space="0" w:color="auto"/>
            </w:tcBorders>
            <w:vAlign w:val="bottom"/>
            <w:hideMark/>
          </w:tcPr>
          <w:p w14:paraId="456CDF87" w14:textId="77777777" w:rsidR="00A54B78" w:rsidRPr="00A54B78" w:rsidRDefault="00A54B78" w:rsidP="00A54B78"/>
        </w:tc>
        <w:tc>
          <w:tcPr>
            <w:tcW w:w="0" w:type="auto"/>
            <w:tcBorders>
              <w:top w:val="single" w:sz="6" w:space="0" w:color="auto"/>
              <w:left w:val="single" w:sz="6" w:space="0" w:color="auto"/>
              <w:bottom w:val="single" w:sz="6" w:space="0" w:color="auto"/>
              <w:right w:val="single" w:sz="6" w:space="0" w:color="auto"/>
            </w:tcBorders>
            <w:tcMar>
              <w:top w:w="150" w:type="dxa"/>
              <w:left w:w="150" w:type="dxa"/>
              <w:bottom w:w="150" w:type="dxa"/>
              <w:right w:w="150" w:type="dxa"/>
            </w:tcMar>
            <w:vAlign w:val="bottom"/>
            <w:hideMark/>
          </w:tcPr>
          <w:p w14:paraId="7CC8279D" w14:textId="77777777" w:rsidR="00A54B78" w:rsidRPr="00A54B78" w:rsidRDefault="00A54B78" w:rsidP="00A54B78">
            <w:r w:rsidRPr="00A54B78">
              <w:t>Mandalay Branch-22</w:t>
            </w:r>
          </w:p>
        </w:tc>
      </w:tr>
      <w:tr w:rsidR="00A54B78" w:rsidRPr="00A54B78" w14:paraId="0E7C67B3" w14:textId="77777777">
        <w:tc>
          <w:tcPr>
            <w:tcW w:w="0" w:type="auto"/>
            <w:vMerge/>
            <w:tcBorders>
              <w:top w:val="single" w:sz="6" w:space="0" w:color="auto"/>
              <w:left w:val="single" w:sz="6" w:space="0" w:color="auto"/>
              <w:bottom w:val="single" w:sz="6" w:space="0" w:color="auto"/>
              <w:right w:val="single" w:sz="6" w:space="0" w:color="auto"/>
            </w:tcBorders>
            <w:vAlign w:val="bottom"/>
            <w:hideMark/>
          </w:tcPr>
          <w:p w14:paraId="39F2045C" w14:textId="77777777" w:rsidR="00A54B78" w:rsidRPr="00A54B78" w:rsidRDefault="00A54B78" w:rsidP="00A54B78"/>
        </w:tc>
        <w:tc>
          <w:tcPr>
            <w:tcW w:w="0" w:type="auto"/>
            <w:tcBorders>
              <w:top w:val="single" w:sz="6" w:space="0" w:color="auto"/>
              <w:left w:val="single" w:sz="6" w:space="0" w:color="auto"/>
              <w:bottom w:val="single" w:sz="6" w:space="0" w:color="auto"/>
              <w:right w:val="single" w:sz="6" w:space="0" w:color="auto"/>
            </w:tcBorders>
            <w:tcMar>
              <w:top w:w="150" w:type="dxa"/>
              <w:left w:w="150" w:type="dxa"/>
              <w:bottom w:w="150" w:type="dxa"/>
              <w:right w:w="150" w:type="dxa"/>
            </w:tcMar>
            <w:vAlign w:val="bottom"/>
            <w:hideMark/>
          </w:tcPr>
          <w:p w14:paraId="149E0D99" w14:textId="77777777" w:rsidR="00A54B78" w:rsidRPr="00A54B78" w:rsidRDefault="00A54B78" w:rsidP="00A54B78">
            <w:r w:rsidRPr="00A54B78">
              <w:t>Mandalay Branch-4 </w:t>
            </w:r>
          </w:p>
        </w:tc>
      </w:tr>
      <w:tr w:rsidR="00A54B78" w:rsidRPr="00A54B78" w14:paraId="0B94BACD" w14:textId="77777777">
        <w:tc>
          <w:tcPr>
            <w:tcW w:w="0" w:type="auto"/>
            <w:tcBorders>
              <w:top w:val="single" w:sz="6" w:space="0" w:color="auto"/>
              <w:left w:val="single" w:sz="6" w:space="0" w:color="auto"/>
              <w:bottom w:val="single" w:sz="6" w:space="0" w:color="auto"/>
              <w:right w:val="single" w:sz="6" w:space="0" w:color="auto"/>
            </w:tcBorders>
            <w:tcMar>
              <w:top w:w="150" w:type="dxa"/>
              <w:left w:w="150" w:type="dxa"/>
              <w:bottom w:w="150" w:type="dxa"/>
              <w:right w:w="150" w:type="dxa"/>
            </w:tcMar>
            <w:vAlign w:val="bottom"/>
            <w:hideMark/>
          </w:tcPr>
          <w:p w14:paraId="55A2EB95" w14:textId="77777777" w:rsidR="00A54B78" w:rsidRPr="00A54B78" w:rsidRDefault="00A54B78" w:rsidP="00A54B78">
            <w:r w:rsidRPr="00A54B78">
              <w:t>Naypyitaw  </w:t>
            </w:r>
          </w:p>
        </w:tc>
        <w:tc>
          <w:tcPr>
            <w:tcW w:w="0" w:type="auto"/>
            <w:tcBorders>
              <w:top w:val="single" w:sz="6" w:space="0" w:color="auto"/>
              <w:left w:val="single" w:sz="6" w:space="0" w:color="auto"/>
              <w:bottom w:val="single" w:sz="6" w:space="0" w:color="auto"/>
              <w:right w:val="single" w:sz="6" w:space="0" w:color="auto"/>
            </w:tcBorders>
            <w:tcMar>
              <w:top w:w="150" w:type="dxa"/>
              <w:left w:w="150" w:type="dxa"/>
              <w:bottom w:w="150" w:type="dxa"/>
              <w:right w:w="150" w:type="dxa"/>
            </w:tcMar>
            <w:vAlign w:val="bottom"/>
            <w:hideMark/>
          </w:tcPr>
          <w:p w14:paraId="66349DC0" w14:textId="77777777" w:rsidR="00A54B78" w:rsidRPr="00A54B78" w:rsidRDefault="00A54B78" w:rsidP="00A54B78">
            <w:r w:rsidRPr="00A54B78">
              <w:t>Naypyitaw Branch-5</w:t>
            </w:r>
          </w:p>
        </w:tc>
      </w:tr>
      <w:tr w:rsidR="00A54B78" w:rsidRPr="00A54B78" w14:paraId="5DAF9FD2" w14:textId="77777777">
        <w:tc>
          <w:tcPr>
            <w:tcW w:w="0" w:type="auto"/>
            <w:tcBorders>
              <w:top w:val="single" w:sz="6" w:space="0" w:color="auto"/>
              <w:left w:val="single" w:sz="6" w:space="0" w:color="auto"/>
              <w:bottom w:val="single" w:sz="6" w:space="0" w:color="auto"/>
              <w:right w:val="single" w:sz="6" w:space="0" w:color="auto"/>
            </w:tcBorders>
            <w:tcMar>
              <w:top w:w="150" w:type="dxa"/>
              <w:left w:w="150" w:type="dxa"/>
              <w:bottom w:w="150" w:type="dxa"/>
              <w:right w:w="150" w:type="dxa"/>
            </w:tcMar>
            <w:vAlign w:val="bottom"/>
            <w:hideMark/>
          </w:tcPr>
          <w:p w14:paraId="63CEFB19" w14:textId="77777777" w:rsidR="00A54B78" w:rsidRPr="00A54B78" w:rsidRDefault="00A54B78" w:rsidP="00A54B78">
            <w:r w:rsidRPr="00A54B78">
              <w:t>Taunggyi     </w:t>
            </w:r>
          </w:p>
        </w:tc>
        <w:tc>
          <w:tcPr>
            <w:tcW w:w="0" w:type="auto"/>
            <w:tcBorders>
              <w:top w:val="single" w:sz="6" w:space="0" w:color="auto"/>
              <w:left w:val="single" w:sz="6" w:space="0" w:color="auto"/>
              <w:bottom w:val="single" w:sz="6" w:space="0" w:color="auto"/>
              <w:right w:val="single" w:sz="6" w:space="0" w:color="auto"/>
            </w:tcBorders>
            <w:tcMar>
              <w:top w:w="150" w:type="dxa"/>
              <w:left w:w="150" w:type="dxa"/>
              <w:bottom w:w="150" w:type="dxa"/>
              <w:right w:w="150" w:type="dxa"/>
            </w:tcMar>
            <w:vAlign w:val="bottom"/>
            <w:hideMark/>
          </w:tcPr>
          <w:p w14:paraId="1683E9DE" w14:textId="77777777" w:rsidR="00A54B78" w:rsidRPr="00A54B78" w:rsidRDefault="00A54B78" w:rsidP="00A54B78">
            <w:r w:rsidRPr="00A54B78">
              <w:t>Taunggyi Branch-1</w:t>
            </w:r>
          </w:p>
        </w:tc>
      </w:tr>
    </w:tbl>
    <w:p w14:paraId="359321A4" w14:textId="77777777" w:rsidR="00A54B78" w:rsidRPr="00A54B78" w:rsidRDefault="00A54B78" w:rsidP="00A54B78">
      <w:r w:rsidRPr="00A54B78">
        <w:t xml:space="preserve">This service will be </w:t>
      </w:r>
      <w:proofErr w:type="gramStart"/>
      <w:r w:rsidRPr="00A54B78">
        <w:t>conveniently</w:t>
      </w:r>
      <w:proofErr w:type="gramEnd"/>
      <w:r w:rsidRPr="00A54B78">
        <w:t xml:space="preserve"> and seamlessly available at the </w:t>
      </w:r>
      <w:proofErr w:type="gramStart"/>
      <w:r w:rsidRPr="00A54B78">
        <w:t>above mentioned</w:t>
      </w:r>
      <w:proofErr w:type="gramEnd"/>
      <w:r w:rsidRPr="00A54B78">
        <w:t xml:space="preserve"> counters and customers will need to provide the complete set of necessary documents during the purchase.</w:t>
      </w:r>
    </w:p>
    <w:p w14:paraId="0546C1A7" w14:textId="77777777" w:rsidR="00A54B78" w:rsidRDefault="00A54B78"/>
    <w:sectPr w:rsidR="00A54B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B78"/>
    <w:rsid w:val="006D63E9"/>
    <w:rsid w:val="00A54B78"/>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3F48F"/>
  <w15:chartTrackingRefBased/>
  <w15:docId w15:val="{3899C2C1-25A5-4A03-86A6-957682060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4B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4B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4B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4B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4B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4B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4B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4B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4B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B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4B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4B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4B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4B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4B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4B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4B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4B78"/>
    <w:rPr>
      <w:rFonts w:eastAsiaTheme="majorEastAsia" w:cstheme="majorBidi"/>
      <w:color w:val="272727" w:themeColor="text1" w:themeTint="D8"/>
    </w:rPr>
  </w:style>
  <w:style w:type="paragraph" w:styleId="Title">
    <w:name w:val="Title"/>
    <w:basedOn w:val="Normal"/>
    <w:next w:val="Normal"/>
    <w:link w:val="TitleChar"/>
    <w:uiPriority w:val="10"/>
    <w:qFormat/>
    <w:rsid w:val="00A54B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4B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4B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4B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4B78"/>
    <w:pPr>
      <w:spacing w:before="160"/>
      <w:jc w:val="center"/>
    </w:pPr>
    <w:rPr>
      <w:i/>
      <w:iCs/>
      <w:color w:val="404040" w:themeColor="text1" w:themeTint="BF"/>
    </w:rPr>
  </w:style>
  <w:style w:type="character" w:customStyle="1" w:styleId="QuoteChar">
    <w:name w:val="Quote Char"/>
    <w:basedOn w:val="DefaultParagraphFont"/>
    <w:link w:val="Quote"/>
    <w:uiPriority w:val="29"/>
    <w:rsid w:val="00A54B78"/>
    <w:rPr>
      <w:i/>
      <w:iCs/>
      <w:color w:val="404040" w:themeColor="text1" w:themeTint="BF"/>
    </w:rPr>
  </w:style>
  <w:style w:type="paragraph" w:styleId="ListParagraph">
    <w:name w:val="List Paragraph"/>
    <w:basedOn w:val="Normal"/>
    <w:uiPriority w:val="34"/>
    <w:qFormat/>
    <w:rsid w:val="00A54B78"/>
    <w:pPr>
      <w:ind w:left="720"/>
      <w:contextualSpacing/>
    </w:pPr>
  </w:style>
  <w:style w:type="character" w:styleId="IntenseEmphasis">
    <w:name w:val="Intense Emphasis"/>
    <w:basedOn w:val="DefaultParagraphFont"/>
    <w:uiPriority w:val="21"/>
    <w:qFormat/>
    <w:rsid w:val="00A54B78"/>
    <w:rPr>
      <w:i/>
      <w:iCs/>
      <w:color w:val="0F4761" w:themeColor="accent1" w:themeShade="BF"/>
    </w:rPr>
  </w:style>
  <w:style w:type="paragraph" w:styleId="IntenseQuote">
    <w:name w:val="Intense Quote"/>
    <w:basedOn w:val="Normal"/>
    <w:next w:val="Normal"/>
    <w:link w:val="IntenseQuoteChar"/>
    <w:uiPriority w:val="30"/>
    <w:qFormat/>
    <w:rsid w:val="00A54B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4B78"/>
    <w:rPr>
      <w:i/>
      <w:iCs/>
      <w:color w:val="0F4761" w:themeColor="accent1" w:themeShade="BF"/>
    </w:rPr>
  </w:style>
  <w:style w:type="character" w:styleId="IntenseReference">
    <w:name w:val="Intense Reference"/>
    <w:basedOn w:val="DefaultParagraphFont"/>
    <w:uiPriority w:val="32"/>
    <w:qFormat/>
    <w:rsid w:val="00A54B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190</Words>
  <Characters>1084</Characters>
  <Application>Microsoft Office Word</Application>
  <DocSecurity>0</DocSecurity>
  <Lines>9</Lines>
  <Paragraphs>2</Paragraphs>
  <ScaleCrop>false</ScaleCrop>
  <Company/>
  <LinksUpToDate>false</LinksUpToDate>
  <CharactersWithSpaces>1272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 Myat</dc:creator>
  <cp:keywords/>
  <dc:description/>
  <cp:lastModifiedBy>Myo Myat</cp:lastModifiedBy>
  <cp:revision>1</cp:revision>
  <dcterms:created xsi:type="dcterms:W3CDTF">2026-06-19T09:44:00Z</dcterms:created>
  <dcterms:modified xsi:type="dcterms:W3CDTF">2026-06-19T09:44:00Z</dcterms:modified>
</cp:coreProperties>
</file>