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2"/>
          <w:szCs w:val="32"/>
          <w:rtl w:val="0"/>
        </w:rPr>
        <w:t xml:space="preserve">Crowdfunding Campaign Analysis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analyzing crowdfunding campaigns, three significant conclusions emerge. First, successful campaigns tend to exceed their funding goals by substantial margins. A striking example of this phenomenon is the 'Williams-Jones' campaign, which far surpassed its goal, achieving an astounding 2339% over its target.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Second, there appears to be a correlation between the average donation amount and campaign success. Campaigns that receive higher average donations are generally more likely to succeed. This trend is reinforced by our dataset, which indicates that successful campaigns enjoy considerably higher average donations compared to those that have not succeeded.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Lastly, the success of crowdfunding campaigns varies across different countries. Campaigns originating from certain nations, like the United States and Australia, have shown greater success, while notably, a lone campaign from Canada ended in failure.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it's important to acknowledge the limitations of the dataset when interpreting these results. One key limitation is its restricted date range, which lacks detailed information about individual campaign durations or a broader timeframe, making it difficult to analyze trends over time. Additionally, the dataset does not provide insights into the backers' demographics, such as their location, age, or gender, which could offer valuable context regarding the audience that supports various campaigns. Lastly, the dataset categorizes campaigns into broad groups, limiting our ability to draw specific conclusions about the success factors for niche campaigns.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enhance our analysis, we could explore several additional avenues. For instance, creating a table to analyze success rates by category and sub-category would help identify which types of campaigns are most likely to achieve their funding goals. Additionally, conducting a time-series analysis that tracks campaign launches and corresponding success rates over time could reveal valuable trends in the popularity and effectiveness of crowdfunding campaigns.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Arial Unicode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140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Ctg5Eq33CcDAkEWn1iMUmmN0Q==">CgMxLjA4AHIhMXF2cjdLUDB2cVQtTE1XbEsxMkFlem8teXhDcHczMEVm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2024-10-20T21:02:00Z</dcterms:created>
  <dc:creator>Microsoft Office User</dc:creator>
</cp:coreProperties>
</file>