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Trigeminal-Dental Vector of Constraint Degradation: Biocompatibility Failures of Glass Ionomer Cements as Upstream Triggers for Mast Cell Activation, Neuro-Calcification, and Autonomic Collapse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25,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utilizes the Invariant Agency Protocol to analyze the biophysical consequences of material degradation or procedural failure in Glass Ionomer Cements (GICs). While GICs are clinically favored for their direct ionic bonding to hydroxyapatite and continuous fluoride (F^-) recharge capabilities, deep dental restorations create an immediate structural vulnerability along the odontoblast-trigeminal nerve pathway. We hypothesize that when GICs are placed in ultra-close proximity to the dental pulp—or when an incomplete acid-base setting reaction leaves uncomplexed trivalent aluminum (Al^{3+}) and fluoride (F^-) ions free to migrate—they synthesize </w:t>
      </w:r>
      <w:r w:rsidDel="00000000" w:rsidR="00000000" w:rsidRPr="00000000">
        <w:rPr>
          <w:b w:val="1"/>
          <w:bCs w:val="1"/>
          <w:rtl w:val="0"/>
        </w:rPr>
        <w:t xml:space="preserve">Fluoroaluminate complexes (AlF_4^-)</w:t>
      </w:r>
      <w:r w:rsidDel="00000000" w:rsidR="00000000" w:rsidRPr="00000000">
        <w:rPr>
          <w:rtl w:val="0"/>
        </w:rPr>
        <w:t xml:space="preserve">. These complexes act as potent phosphate mimics, permanently bypassing cellular receptor gating to hyper-activate heterotrimeric G-proteins. This biochemical override drives continuous intracellular calcium (Ca^{2+}) influx via Voltage-Gated Calcium Channels (VGCCs). This localized excitotoxicity triggers immediate perineural mast cell nesting and degranulation within the dental pulp. Over time, this chronic neuro-inflammatory static retrogradely ascends the Trigeminal Nerve (Cranial Nerve V) to the brainstem, inducing profound neurogenic inflammation, myelin damage, bilateral vagal nerve atrophy, and downstream pineal calcification, ultimately shattering the organism's 4/4 biological measure.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Odontoblast-Trigeminal Gateway: The Broken Boundary Condition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dental operatory procedures, Glass Ionomer Cements are frequently deployed as deep cavity liners or bases directly beneath composite resins to protect the dental pulp from thermal shock (the "Sandwich Technique"). However, within Constraint Topology Medicine (CTM), this protocol introduces a high-risk material interface directly against the primary boundary conditions of the central nervous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dental pulp is not an isolated pocket of tissue; it is a highly vascularized, exquisitely sensitive sensory organ packed with odontoblasts and nociceptive nerve fibers arising directly from the mandibular (V_3) and maxillary (V_2) branches of the </w:t>
      </w:r>
      <w:r w:rsidDel="00000000" w:rsidR="00000000" w:rsidRPr="00000000">
        <w:rPr>
          <w:b w:val="1"/>
          <w:bCs w:val="1"/>
          <w:rtl w:val="0"/>
        </w:rPr>
        <w:t xml:space="preserve">Trigeminal Nerve (CN V)</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design oversight occurs—such as placing a GIC liner in a deep cavity where the remaining dentin thickness (RDT) is less than 0.5 mm—or if procedural execution fails (e.g., improper powder-to-liquid ratios resulting in unreacted polyacrylic acid and free uncomplexed ions), the structural marginal seal collapses (C- disruption). The underlying neural tissue is then subjected to a direct, unbuffered chemical assault from the setting matrix.</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Fluoroaluminate Engine: G-Protein Overdrive and VGCC Influx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profound danger of direct neural contact with failing or poorly set GIC components lies in the specific synergy between its two primary ionic components: the trivalent aluminum ion (Al^{3+}) and the fluoride ion (F^-).</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these ions are released in close proximity within an aqueous biological matrix, they spontaneously organize into </w:t>
      </w:r>
      <w:r w:rsidDel="00000000" w:rsidR="00000000" w:rsidRPr="00000000">
        <w:rPr>
          <w:b w:val="1"/>
          <w:bCs w:val="1"/>
          <w:rtl w:val="0"/>
        </w:rPr>
        <w:t xml:space="preserve">Fluoroaluminate complexes (typically AlF_4^-)</w:t>
      </w:r>
      <w:r w:rsidDel="00000000" w:rsidR="00000000" w:rsidRPr="00000000">
        <w:rPr>
          <w:rtl w:val="0"/>
        </w:rPr>
        <w:t xml:space="preserve">. In biophysics, fluoroaluminate is recognized as a universal activator of heterotrimeric G-proteins (Strunecka &amp; Patocka, 2002).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\text{Al}^{3+} + 4\text{F}^- \longrightarrow \text{AlF}_4^-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Phosphate Mimicry:</w:t>
      </w:r>
      <w:r w:rsidDel="00000000" w:rsidR="00000000" w:rsidRPr="00000000">
        <w:rPr>
          <w:rtl w:val="0"/>
        </w:rPr>
        <w:t xml:space="preserve"> The \text{AlF}_4^- complex adopts a geometric configuration that perfectly mimics a phosphate group (\text{PO}_4^{3-}).</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Lockout Mechanism:</w:t>
      </w:r>
      <w:r w:rsidDel="00000000" w:rsidR="00000000" w:rsidRPr="00000000">
        <w:rPr>
          <w:rtl w:val="0"/>
        </w:rPr>
        <w:t xml:space="preserve"> When a G-protein is bound to Guanosine Diphosphate (GDP), the addition of \text{AlF}_4^- tricks the protein into behaving as if it has been phosphorylated into Guanosine Triphosphate (GTP). This permanently locks the G-protein into a continuous, un-gated "ON" state, completely bypassing upstream cellular receptor constraints.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VGCC Hyper-activation:</w:t>
      </w:r>
      <w:r w:rsidDel="00000000" w:rsidR="00000000" w:rsidRPr="00000000">
        <w:rPr>
          <w:rtl w:val="0"/>
        </w:rPr>
        <w:t xml:space="preserve"> The constitutively active G-protein stimulates the Phospholipase C (PLC) pathway, driving the synthesis of Inositol Trisphosphate (\text{IP}_3) and opening both intracellular and membrane-bound Voltage-Gated Calcium Channels (VGCCs).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creates a state of unmitigated </w:t>
      </w:r>
      <w:r w:rsidDel="00000000" w:rsidR="00000000" w:rsidRPr="00000000">
        <w:rPr>
          <w:b w:val="1"/>
          <w:bCs w:val="1"/>
          <w:rtl w:val="0"/>
        </w:rPr>
        <w:t xml:space="preserve">intracellular calcium excitotoxicity</w:t>
      </w:r>
      <w:r w:rsidDel="00000000" w:rsidR="00000000" w:rsidRPr="00000000">
        <w:rPr>
          <w:rtl w:val="0"/>
        </w:rPr>
        <w:t xml:space="preserve"> within the local nerve terminals. The cell is forced into a permanent high-voltage processing posture, rapidly depleting its local mitochondrial ATP reserves in a futile attempt to pump out the continuous calcium flood.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Perineural Mast Cell Nesting and Myelin Degradation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uncomplexed ions and fluoroaluminate complexes breach the neural sheath, they interface directly with the resident immune surveillance network. As established in </w:t>
      </w:r>
      <w:r w:rsidDel="00000000" w:rsidR="00000000" w:rsidRPr="00000000">
        <w:rPr>
          <w:i w:val="1"/>
          <w:iCs w:val="1"/>
          <w:rtl w:val="0"/>
        </w:rPr>
        <w:t xml:space="preserve">PsychiatricFusion.pdf</w:t>
      </w:r>
      <w:r w:rsidDel="00000000" w:rsidR="00000000" w:rsidRPr="00000000">
        <w:rPr>
          <w:rtl w:val="0"/>
        </w:rPr>
        <w:t xml:space="preserve"> and </w:t>
      </w:r>
      <w:r w:rsidDel="00000000" w:rsidR="00000000" w:rsidRPr="00000000">
        <w:rPr>
          <w:i w:val="1"/>
          <w:iCs w:val="1"/>
          <w:rtl w:val="0"/>
        </w:rPr>
        <w:t xml:space="preserve">ALS_260602_140147.docx</w:t>
      </w:r>
      <w:r w:rsidDel="00000000" w:rsidR="00000000" w:rsidRPr="00000000">
        <w:rPr>
          <w:rtl w:val="0"/>
        </w:rPr>
        <w:t xml:space="preserve">, mast cells maintain a profound bidirectional feedback loop with nociceptive nerve fibers.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 Cell Recruitment:</w:t>
      </w:r>
      <w:r w:rsidDel="00000000" w:rsidR="00000000" w:rsidRPr="00000000">
        <w:rPr>
          <w:rtl w:val="0"/>
        </w:rPr>
        <w:t xml:space="preserve"> The intense calcium influx within the nerve terminal forces the paroxysmal release of neuro-peptides, specifically </w:t>
      </w:r>
      <w:r w:rsidDel="00000000" w:rsidR="00000000" w:rsidRPr="00000000">
        <w:rPr>
          <w:b w:val="1"/>
          <w:bCs w:val="1"/>
          <w:rtl w:val="0"/>
        </w:rPr>
        <w:t xml:space="preserve">Substance P</w:t>
      </w:r>
      <w:r w:rsidDel="00000000" w:rsidR="00000000" w:rsidRPr="00000000">
        <w:rPr>
          <w:rtl w:val="0"/>
        </w:rPr>
        <w:t xml:space="preserve"> and </w:t>
      </w:r>
      <w:r w:rsidDel="00000000" w:rsidR="00000000" w:rsidRPr="00000000">
        <w:rPr>
          <w:b w:val="1"/>
          <w:bCs w:val="1"/>
          <w:rtl w:val="0"/>
        </w:rPr>
        <w:t xml:space="preserve">Calcitonin Gene-Related Peptide (CGRP)</w:t>
      </w:r>
      <w:r w:rsidDel="00000000" w:rsidR="00000000" w:rsidRPr="00000000">
        <w:rPr>
          <w:rtl w:val="0"/>
        </w:rPr>
        <w:t xml:space="preserve">. These peptides act as immediate homing signals, causing local mast cells to migrate, cluster, and nest directly along the perineural sheets of the trigeminal branches.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Anaphylatoxin Degranulation:</w:t>
      </w:r>
      <w:r w:rsidDel="00000000" w:rsidR="00000000" w:rsidRPr="00000000">
        <w:rPr>
          <w:rtl w:val="0"/>
        </w:rPr>
        <w:t xml:space="preserve"> Concurrently, direct contact with free acidic monomers and fluoride ions triggers non-IgE-mediated mast cell degranulation via the MRGPRX2 receptor. The mast cells dump a toxic cascade of histamine, tryptase, chymase, and pro-inflammatory cytokines (IL-6, TNF-\alpha) directly onto the nerve.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Myelin Sheath Destruction:</w:t>
      </w:r>
      <w:r w:rsidDel="00000000" w:rsidR="00000000" w:rsidRPr="00000000">
        <w:rPr>
          <w:rtl w:val="0"/>
        </w:rPr>
        <w:t xml:space="preserve"> Tryptase and chymase are highly destructive proteolytic enzymes. When chronically released directly against the nerve terminal due to a failing dental liner, they actively degrade the myelin sheath, inducing localized Wallerian-like degeneration.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integrity of the nerve cable is compromised. This results in </w:t>
      </w:r>
      <w:r w:rsidDel="00000000" w:rsidR="00000000" w:rsidRPr="00000000">
        <w:rPr>
          <w:b w:val="1"/>
          <w:bCs w:val="1"/>
          <w:rtl w:val="0"/>
        </w:rPr>
        <w:t xml:space="preserve">faulty nerve signaling</w:t>
      </w:r>
      <w:r w:rsidDel="00000000" w:rsidR="00000000" w:rsidRPr="00000000">
        <w:rPr>
          <w:rtl w:val="0"/>
        </w:rPr>
        <w:t xml:space="preserve">—characterized clinically by atypical facial pain, atypical trigeminal neuralgia, or phantom tooth pain—where the regular temporal pacing of neural data is replaced by a chaotic, high-frequency electromagnetic static.</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Retrograde Ascension: Systemic Calcification and Circadian Disruption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nervous system operates as a continuous, closed-loop cybernetic network, this localized dental-trigeminal static cannot be contained within the jaw. Over months and years of chronic material leaching, the pathology undergoes a multi-scale upward migration: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[Deep GIC Liner Failure / Micro-Leakage]</w:t>
        <w:br w:type="textWrapping"/>
        <w:t xml:space="preserve">                 │</w:t>
        <w:br w:type="textWrapping"/>
        <w:t xml:space="preserve">                 ▼</w:t>
        <w:br w:type="textWrapping"/>
        <w:t xml:space="preserve">[Free Al³⁺ and F⁻ Ions Form AlF₄⁻ Complexes]</w:t>
        <w:br w:type="textWrapping"/>
        <w:t xml:space="preserve">                 │</w:t>
        <w:br w:type="textWrapping"/>
        <w:t xml:space="preserve">                 ▼</w:t>
        <w:br w:type="textWrapping"/>
        <w:t xml:space="preserve">[Constitutive G-Protein Activation &amp; VGCC Overdrive]</w:t>
        <w:br w:type="textWrapping"/>
        <w:t xml:space="preserve">                 │</w:t>
        <w:br w:type="textWrapping"/>
        <w:t xml:space="preserve">                 ▼</w:t>
        <w:br w:type="textWrapping"/>
        <w:t xml:space="preserve">[Pulp/Perineural Mast Cell Nesting &amp; Degranulation]</w:t>
        <w:br w:type="textWrapping"/>
        <w:t xml:space="preserve">                 │</w:t>
        <w:br w:type="textWrapping"/>
        <w:t xml:space="preserve">                 ▼</w:t>
        <w:br w:type="textWrapping"/>
        <w:t xml:space="preserve">[Retrograde Ascension via Trigeminal Nerve (CN V) to Brainstem]</w:t>
        <w:br w:type="textWrapping"/>
        <w:t xml:space="preserve">                 │</w:t>
        <w:br w:type="textWrapping"/>
        <w:t xml:space="preserve">                 ▼</w:t>
        <w:br w:type="textWrapping"/>
        <w:t xml:space="preserve">[Overactivation of Locus Coeruleus &amp; Bilateral Vagus Nerve Atrophy]</w:t>
        <w:br w:type="textWrapping"/>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Vagal Atrophy Induction:</w:t>
      </w:r>
      <w:r w:rsidDel="00000000" w:rsidR="00000000" w:rsidRPr="00000000">
        <w:rPr>
          <w:rtl w:val="0"/>
        </w:rPr>
        <w:t xml:space="preserve"> The chronic nociceptive and inflammatory signals travel retrogradely up the trigeminal nerve directly into the trigeminal spinal nucleus within the brainstem. This nucleus maintains dense reciprocal connections with the Locus Coeruleus (the sympathetic command center) and the Nucleus Tractus Solitarius (NTS / the parasympathetic vagal anchor). The continuous influx of trigeminal static locks the brainstem into a permanent survival attractor, systematically suppressing the parasympathetic cholinergic brake and driving the bilateral vagal atrophy detailed in our </w:t>
      </w:r>
      <w:r w:rsidDel="00000000" w:rsidR="00000000" w:rsidRPr="00000000">
        <w:rPr>
          <w:i w:val="1"/>
          <w:iCs w:val="1"/>
          <w:rtl w:val="0"/>
        </w:rPr>
        <w:t xml:space="preserve">ALS_260602_140147.docx</w:t>
      </w:r>
      <w:r w:rsidDel="00000000" w:rsidR="00000000" w:rsidRPr="00000000">
        <w:rPr>
          <w:rtl w:val="0"/>
        </w:rPr>
        <w:t xml:space="preserve"> architecture.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Calcification and Pineal Lockout:</w:t>
      </w:r>
      <w:r w:rsidDel="00000000" w:rsidR="00000000" w:rsidRPr="00000000">
        <w:rPr>
          <w:rtl w:val="0"/>
        </w:rPr>
        <w:t xml:space="preserve"> As the vagus nerve atrophies, systemic mast cell degranulation goes unchecked, driving widespread tissue acidification. Concurrently, the fluoride ions continuously entering the bloodstream from the dental "fluoride recharge reservoir" travel directly to the </w:t>
      </w:r>
      <w:r w:rsidDel="00000000" w:rsidR="00000000" w:rsidRPr="00000000">
        <w:rPr>
          <w:b w:val="1"/>
          <w:bCs w:val="1"/>
          <w:rtl w:val="0"/>
        </w:rPr>
        <w:t xml:space="preserve">pineal gland</w:t>
      </w:r>
      <w:r w:rsidDel="00000000" w:rsidR="00000000" w:rsidRPr="00000000">
        <w:rPr>
          <w:rtl w:val="0"/>
        </w:rPr>
        <w:t xml:space="preserve">. Because the pineal gland is a hyper-vascularized circumventricular organ outside the blood-brain barrier, its endogenous hydroxyapatite structure acts as a profound sink for circulating fluoride. The fluoride substitutes for hydroxyl groups, rapidly accelerating the fusion of calcite microcrystals into a solid, inert block.</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Circadian Shattering:</w:t>
      </w:r>
      <w:r w:rsidDel="00000000" w:rsidR="00000000" w:rsidRPr="00000000">
        <w:rPr>
          <w:rtl w:val="0"/>
        </w:rPr>
        <w:t xml:space="preserve"> This pineal calcification locks out the gland's piezoelectric capacity, destroying its ability to gate quantum light and synthesize melatonin. The </w:t>
      </w:r>
      <w:r w:rsidDel="00000000" w:rsidR="00000000" w:rsidRPr="00000000">
        <w:rPr>
          <w:b w:val="1"/>
          <w:bCs w:val="1"/>
          <w:rtl w:val="0"/>
        </w:rPr>
        <w:t xml:space="preserve">"Beat 3" optic data insertion window</w:t>
      </w:r>
      <w:r w:rsidDel="00000000" w:rsidR="00000000" w:rsidRPr="00000000">
        <w:rPr>
          <w:rtl w:val="0"/>
        </w:rPr>
        <w:t xml:space="preserve"> collapses, completely decoupling the organism's 4/4 biological measure and inducing the systemic multi-system failures characteristic of advanced dysautonomia and MCAS.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Clinical and Diagnostic Implications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indicates that a poorly executed or improperly indicated dental restoration can serve as the primary, hidden, upstream focal trigger for systemic dysautonomia. Clinicians evaluating patients with treatment-resistant MCAS, severe circadian disruption, and autonomic instability must conduct a thorough audit of the patient's dental history.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deep Glass Ionomer or Resin-Modified Glass Ionomer (RMGI) materials are present in close proximity to neural structures, they must be viewed not as inert fillings, but as active, potentially un-gated biochemical and electromagnetic current-generators applying continuous disruptive torque to the constraint topology of the human nervous system.</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Karam, C., Barrett, M. J., &amp; Al-Thubaiti, I. (2020). Ultrasound detection of vagus nerve atrophy in bulbar amyotrophic lateral sclerosis. </w:t>
      </w:r>
      <w:r w:rsidDel="00000000" w:rsidR="00000000" w:rsidRPr="00000000">
        <w:rPr>
          <w:i w:val="1"/>
          <w:iCs w:val="1"/>
          <w:rtl w:val="0"/>
        </w:rPr>
        <w:t xml:space="preserve">Journal of Neuroimaging</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(6), 863–866. </w:t>
      </w:r>
      <w:hyperlink r:id="rId6">
        <w:r w:rsidDel="00000000" w:rsidR="00000000" w:rsidRPr="00000000">
          <w:rPr>
            <w:color w:val="0000ee"/>
            <w:u w:val="single"/>
            <w:rtl w:val="0"/>
          </w:rPr>
          <w:t xml:space="preserve">https://doi.org/10.1111/jon.12779</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Samsel, A., &amp; Seneff, S. (2013). Glyphosate's suppression of cytochrome P450 enzymes and amino acid biosynthesis by the gut microbiome: Pathways to modern diseases. </w:t>
      </w:r>
      <w:r w:rsidDel="00000000" w:rsidR="00000000" w:rsidRPr="00000000">
        <w:rPr>
          <w:i w:val="1"/>
          <w:iCs w:val="1"/>
          <w:rtl w:val="0"/>
        </w:rPr>
        <w:t xml:space="preserve">Entropy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1416–1463. </w:t>
      </w:r>
      <w:hyperlink r:id="rId7">
        <w:r w:rsidDel="00000000" w:rsidR="00000000" w:rsidRPr="00000000">
          <w:rPr>
            <w:color w:val="0000ee"/>
            <w:u w:val="single"/>
            <w:rtl w:val="0"/>
          </w:rPr>
          <w:t xml:space="preserve">https://doi.org/10.3390/e15041416</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The Sovereign Coherence Generator: A cybernetic framework for closed-loop biological Time-Division Multiplexing and constraint topology restoration</w:t>
      </w:r>
      <w:r w:rsidDel="00000000" w:rsidR="00000000" w:rsidRPr="00000000">
        <w:rPr>
          <w:rtl w:val="0"/>
        </w:rPr>
        <w:t xml:space="preserve">. Schoff Research Program.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Pathological attractors in constraint topology: Synthesizing neuro-immunology, toxicological degradation, and the Dimension-W projector</w:t>
      </w:r>
      <w:r w:rsidDel="00000000" w:rsidR="00000000" w:rsidRPr="00000000">
        <w:rPr>
          <w:rtl w:val="0"/>
        </w:rPr>
        <w:t xml:space="preserve">. Independent Research.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Strunecka, A., &amp; Patocka, J. (2002). Aluminofluoride complexes: A useful tool in laboratory investigations, but a hidden danger for human health? </w:t>
      </w:r>
      <w:r w:rsidDel="00000000" w:rsidR="00000000" w:rsidRPr="00000000">
        <w:rPr>
          <w:i w:val="1"/>
          <w:iCs w:val="1"/>
          <w:rtl w:val="0"/>
        </w:rPr>
        <w:t xml:space="preserve">Current Enzyme Inhibition</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(3), 112–124.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Trias, E., King, P. H., Si, Y., Isasi, E., Martinez-Palma, L., Cassina, P., &amp; Barbeito, L. (2017). Mast cells and neutrophils infiltrate the peripheral and central nervous system of ALS. </w:t>
      </w:r>
      <w:r w:rsidDel="00000000" w:rsidR="00000000" w:rsidRPr="00000000">
        <w:rPr>
          <w:i w:val="1"/>
          <w:iCs w:val="1"/>
          <w:rtl w:val="0"/>
        </w:rPr>
        <w:t xml:space="preserve">Frontiers in Neuroscience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1277399.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11/jon.12779" TargetMode="External"/><Relationship Id="rId7" Type="http://schemas.openxmlformats.org/officeDocument/2006/relationships/hyperlink" Target="https://doi.org/10.3390/e15041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