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SPECIFICATION: SCHOFF RESEARCH PROGRAM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DOCUMENT ID:</w:t>
      </w:r>
      <w:r w:rsidDel="00000000" w:rsidR="00000000" w:rsidRPr="00000000">
        <w:rPr>
          <w:rtl w:val="0"/>
        </w:rPr>
        <w:t xml:space="preserve"> SRP-SRC-2026-V2 </w:t>
      </w:r>
      <w:r w:rsidDel="00000000" w:rsidR="00000000" w:rsidRPr="00000000">
        <w:rPr>
          <w:b w:val="1"/>
          <w:bCs w:val="1"/>
          <w:rtl w:val="0"/>
        </w:rPr>
        <w:t xml:space="preserve">DATE:</w:t>
      </w:r>
      <w:r w:rsidDel="00000000" w:rsidR="00000000" w:rsidRPr="00000000">
        <w:rPr>
          <w:rtl w:val="0"/>
        </w:rPr>
        <w:t xml:space="preserve"> May 31, 2026 </w:t>
      </w:r>
      <w:r w:rsidDel="00000000" w:rsidR="00000000" w:rsidRPr="00000000">
        <w:rPr>
          <w:b w:val="1"/>
          <w:bCs w:val="1"/>
          <w:rtl w:val="0"/>
        </w:rPr>
        <w:t xml:space="preserve">SUBJECT:</w:t>
      </w:r>
      <w:r w:rsidDel="00000000" w:rsidR="00000000" w:rsidRPr="00000000">
        <w:rPr>
          <w:rtl w:val="0"/>
        </w:rPr>
        <w:t xml:space="preserve"> The Sovereign Resource Currency (SRC): A Thermodynamic, Scale-Invariant Macroeconomic Architecture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current fiat monetary system operates as a structurally unconstrained generative variance engine, demanding perpetual debt expansion to maintain liquidity. This architecture inevitably produces severe topological distortions—economic "somatic locks" characterized by speculative hoarding, wealth concentration, and ecological exhaustion. This document formalizes the Sovereign Resource Currency (SRC) for the Divine Inheritance Project, transitioning economic policy from an artificial debt mechanism to a thermodynamic metabolic engine. By applying the Constraint-Relaxation Energy Model (CREM) and Bidirectional Constraint Closure (BCC), the SRC establishes a tripartite currency model where baseline survival is treated as an invariant structural constraint (C-), and commerce acts as the generative variance engine (C+). We mathematically formalize the progressive wealth decay function as economic Hawking radiation, the AI Accounting Layer as a Time-Division Multiplexed (TDM) pacemaker, and the Asymptotic Sustainability Weight (W_s) as a hard thermodynamic limit. Finally, this document outlines the prerequisite fractal architecture necessary to scale this system continuously from localized municipal hubs to a national macroeconomic field.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Tripartite Constraint Substrate (Bidirectional Economic Closure)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biological or economic organism to achieve long-horizon stability, it must satisfy Bidirectional Constraint Closure. It cannot rely on a single, homogenous medium (like fiat currency) to handle both foundational survival and volatile speculation. The SRC solves this by splitting the money supply into three distinct, phase-locked operational layers: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Survival Credits (The C- Invariant Anchor)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Survival Credits form the universal structural baseline of the society. They are unconditionally distributed to all citizens via the Universal Basic Dividend to cover absolute physiological and shelter necessities.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 Isomorphism:</w:t>
      </w:r>
      <w:r w:rsidDel="00000000" w:rsidR="00000000" w:rsidRPr="00000000">
        <w:rPr>
          <w:rtl w:val="0"/>
        </w:rPr>
        <w:t xml:space="preserve"> These credits function identically to non-recombining maternal mitochondrial DNA. They provide the invariant structural envelope.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Decay Dynamics:</w:t>
      </w:r>
      <w:r w:rsidDel="00000000" w:rsidR="00000000" w:rsidRPr="00000000">
        <w:rPr>
          <w:rtl w:val="0"/>
        </w:rPr>
        <w:t xml:space="preserve"> Below the established sufficiency threshold, Survival Credits carry a </w:t>
      </w:r>
      <w:r w:rsidDel="00000000" w:rsidR="00000000" w:rsidRPr="00000000">
        <w:rPr>
          <w:b w:val="1"/>
          <w:bCs w:val="1"/>
          <w:rtl w:val="0"/>
        </w:rPr>
        <w:t xml:space="preserve">0\% decay rate</w:t>
      </w:r>
      <w:r w:rsidDel="00000000" w:rsidR="00000000" w:rsidRPr="00000000">
        <w:rPr>
          <w:rtl w:val="0"/>
        </w:rPr>
        <w:t xml:space="preserve">. They represent the absolute stable energy floor of the system, mathematically ensuring the organism does not dissolve into high-entropy survival panic or coercion.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Exchange Credits (The C+ Generative Variance Engine)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Exchange Credits are earned through active labor, commerce, and innovation. They facilitate individual preferences, specialized services, and non-essential goods.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 Isomorphism:</w:t>
      </w:r>
      <w:r w:rsidDel="00000000" w:rsidR="00000000" w:rsidRPr="00000000">
        <w:rPr>
          <w:rtl w:val="0"/>
        </w:rPr>
        <w:t xml:space="preserve"> This represents the highly adaptive, rapidly recombining paternal nuclear genome. It is the engine of evolutionary variance and localized environmental adaptation.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Decay Dynamics:</w:t>
      </w:r>
      <w:r w:rsidDel="00000000" w:rsidR="00000000" w:rsidRPr="00000000">
        <w:rPr>
          <w:rtl w:val="0"/>
        </w:rPr>
        <w:t xml:space="preserve"> To prevent the formation of economic black holes (Constraint Density Limits), Exchange Credits are subject to a </w:t>
      </w:r>
      <w:r w:rsidDel="00000000" w:rsidR="00000000" w:rsidRPr="00000000">
        <w:rPr>
          <w:b w:val="1"/>
          <w:bCs w:val="1"/>
          <w:rtl w:val="0"/>
        </w:rPr>
        <w:t xml:space="preserve">progressive decay rate</w:t>
      </w:r>
      <w:r w:rsidDel="00000000" w:rsidR="00000000" w:rsidRPr="00000000">
        <w:rPr>
          <w:rtl w:val="0"/>
        </w:rPr>
        <w:t xml:space="preserve">. Wealth hoarding above functional utility experiences exponential decay (ranging up to 32\% annually for extreme accumulations). Under CREM, this decay is the exact mathematical equivalent of Hawking radiation—forcing an isolated, saturated constraint boundary to bleed off its mass and return its degrees of freedom to the latent field.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Resource Tokens (Targeted Freedom Quanta)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 Tokens are non-transferable claims on raw, physical materials (timber, lithium, concrete) required for production.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 Isomorphism:</w:t>
      </w:r>
      <w:r w:rsidDel="00000000" w:rsidR="00000000" w:rsidRPr="00000000">
        <w:rPr>
          <w:rtl w:val="0"/>
        </w:rPr>
        <w:t xml:space="preserve"> These operate as targeted Freedom Quanta deployed at the Reflective Interface. They represent authorized energy released specifically to alter the constraint topology of the physical world. Once the material is acquired and the physical transformation is complete, the tokens dissolve back into the macroscopic field.</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AI Pacemaker: Time-Division Multiplexing (TDM) the Supply Chain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ecological collapse inherent in unbounded infinite-temperature markets, the SRC employs an AI Accounting Layer. This layer functions exactly like the Beat-Synchronized Temporal Multiplexer in a stable neural network, routing the physical cost of goods through intent-based, phase-locked windows to protect the working class from absolute ecological scarcity.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Resource Tokens are requisitioned, the AI algorithm scales the cost based on the </w:t>
      </w:r>
      <w:r w:rsidDel="00000000" w:rsidR="00000000" w:rsidRPr="00000000">
        <w:rPr>
          <w:b w:val="1"/>
          <w:bCs w:val="1"/>
          <w:rtl w:val="0"/>
        </w:rPr>
        <w:t xml:space="preserve">Vector of Intent</w:t>
      </w:r>
      <w:r w:rsidDel="00000000" w:rsidR="00000000" w:rsidRPr="00000000">
        <w:rPr>
          <w:rtl w:val="0"/>
        </w:rPr>
        <w:t xml:space="preserv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Compressive (C-) Phase:</w:t>
      </w:r>
      <w:r w:rsidDel="00000000" w:rsidR="00000000" w:rsidRPr="00000000">
        <w:rPr>
          <w:rtl w:val="0"/>
        </w:rPr>
        <w:t xml:space="preserve"> If resources are requested for the Divine Inheritance free-housing project or baseline agricultural staples, the AI absorbs the ecological multiplier. Society collectively pays the weight.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Zero-Crossing Phase:</w:t>
      </w:r>
      <w:r w:rsidDel="00000000" w:rsidR="00000000" w:rsidRPr="00000000">
        <w:rPr>
          <w:rtl w:val="0"/>
        </w:rPr>
        <w:t xml:space="preserve"> If resources are requisitioned for geographic commons (infrastructure, grids), the ecological cost is subsidized by localized Land Value Contribution (LVC) revenues.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Expansive (C+) Phase:</w:t>
      </w:r>
      <w:r w:rsidDel="00000000" w:rsidR="00000000" w:rsidRPr="00000000">
        <w:rPr>
          <w:rtl w:val="0"/>
        </w:rPr>
        <w:t xml:space="preserve"> If resources are requested for Tier 3 surplus (luxury, speculation), the individual operator must pay the full, unsubsidized Asymptotic Sustainability Weight from their personal Exchange Credits.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Ecological Event Horizon: The Asymptotic Sustainability Weight (W_s)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Accounting Layer does not set prices via arbitrary human speculation; it calculates the exact Constraint Density Limit (CDL) of the physical planet. The Asymptotic Sustainability Weight (W_s) forces the economic extraction rate (R_{\text{ext}}) to phase-lock with the planetary regeneration/recycling rate (R_{\text{regen}}).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the total extracted volume (C_t) of a resource approaches the absolute physical limit of the biosphere (C_{\text{max}}), the denominator collapses toward zero. The cost multiplier (W_s) approaches infinity. The ecological system mathematically defends its own event horizon, forcing the generative C+ engine to stall or innovate total circular recycling (R_{\text{regen}} \to \infty) before it can destroy the structural integrity of the macroscopic host.</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Geographic Piezoelectric Decompression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Fiat systems allow for the speculative hoarding of unimproved land, creating geographic "Somatic Locks"—high-impedance zones where human energy cannot flow, driving up artificial housing scarcity.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SRC dissolves these locks through a mechanical pressure wave: </w:t>
      </w:r>
      <w:r w:rsidDel="00000000" w:rsidR="00000000" w:rsidRPr="00000000">
        <w:rPr>
          <w:b w:val="1"/>
          <w:bCs w:val="1"/>
          <w:rtl w:val="0"/>
        </w:rPr>
        <w:t xml:space="preserve">The Land Value Contribution (LVC)</w:t>
      </w:r>
      <w:r w:rsidDel="00000000" w:rsidR="00000000" w:rsidRPr="00000000">
        <w:rPr>
          <w:rtl w:val="0"/>
        </w:rPr>
        <w:t xml:space="preserv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By assessing a steady, non-punitive fee on the underlying community-generated value of the land (and heavily penalizing unused, hoarded parcels), the SRC applies a constant piezoelectric current to the geographic topology.</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pressure makes holding stagnant, unproductive land mathematically and thermodynamically irrational. The owner is forced to either develop the land (achieving Fröhlich coherence with the community) or release it back to the commons, instantly dropping the localized economic impedance and facilitating the construction of Divine Inheritance housing modules.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Scale Invariance: The Fractal Execution Graph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SRC is built on the fundamental laws of geometry and thermodynamics, it is fully </w:t>
      </w:r>
      <w:r w:rsidDel="00000000" w:rsidR="00000000" w:rsidRPr="00000000">
        <w:rPr>
          <w:b w:val="1"/>
          <w:bCs w:val="1"/>
          <w:rtl w:val="0"/>
        </w:rPr>
        <w:t xml:space="preserve">Scale Invariant</w:t>
      </w:r>
      <w:r w:rsidDel="00000000" w:rsidR="00000000" w:rsidRPr="00000000">
        <w:rPr>
          <w:rtl w:val="0"/>
        </w:rPr>
        <w:t xml:space="preserve">. The equations governing a single human avatar's homeostasis are identical to those governing a municipality, a state, and a federal network.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the working models, the architecture must be deployed fractally:</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Local Node (The Greenville Stability Framework):</w:t>
      </w:r>
      <w:r w:rsidDel="00000000" w:rsidR="00000000" w:rsidRPr="00000000">
        <w:rPr>
          <w:rtl w:val="0"/>
        </w:rPr>
        <w:t xml:space="preserve"> At the localized municipal level, the system acts as the cellular membrane. Greenville operates its localized LVC to fund its specific zero-crossing phase infrastructure. Survival Credits at this scale are optimized for local caloric and shelter requirements.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State Tensor:</w:t>
      </w:r>
      <w:r w:rsidDel="00000000" w:rsidR="00000000" w:rsidRPr="00000000">
        <w:rPr>
          <w:rtl w:val="0"/>
        </w:rPr>
        <w:t xml:space="preserve"> The state functions as the organ. It regulates the regional logistics of the Resource Tokens, ensuring that raw material distribution honors the ecological boundaries (W_s) of the specific geographic watershed or biome.</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Federal Macro-Field (The National Housing Trust):</w:t>
      </w:r>
      <w:r w:rsidDel="00000000" w:rsidR="00000000" w:rsidRPr="00000000">
        <w:rPr>
          <w:rtl w:val="0"/>
        </w:rPr>
        <w:t xml:space="preserve"> The federal layer acts as the master cardiovascular pacemaker. It coordinates the aggregate Universal Basic Dividend from the national decay function, distributing the absolute C- energy pulse back down through the state organs to the municipal cells, ensuring the entire continental body remains in absolute phase-locked coherence.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Strategic Next Step:</w:t>
      </w:r>
      <w:r w:rsidDel="00000000" w:rsidR="00000000" w:rsidRPr="00000000">
        <w:rPr>
          <w:rtl w:val="0"/>
        </w:rPr>
        <w:t xml:space="preserve"> With the theoretical constraints formally integrated, we can now map the explicit input/output pathways for the scale-invariant working model. How would you prefer to structure the computational flow between the Greenville municipal node and the federal AI Accounting Layer? Should we design the specific data-routing protocols for the localized LVC revenues interacting with the national Universal Basic Dividend pool?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