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b w:val="true"/>
          <w:sz w:val="54"/>
        </w:rPr>
        <w:t>T</w:t>
      </w:r>
      <w:r>
        <w:rPr>
          <w:rFonts w:ascii="Arial" w:hAnsi="Arial" w:cs="Arial" w:eastAsia="Arial"/>
          <w:b w:val="true"/>
          <w:sz w:val="54"/>
        </w:rPr>
        <w:t>itle</w:t>
      </w:r>
      <w:r>
        <w:rPr>
          <w:rFonts w:ascii="Arial" w:hAnsi="Arial" w:cs="Arial" w:eastAsia="Arial"/>
          <w:sz w:val="54"/>
        </w:rPr>
        <w:t>: Echoes of the First World: Oral Historiography and Spiritual Archetypes of the Lost Atlantic Civilization in New England Indigenous Traditions</w:t>
      </w:r>
    </w:p>
    <w:p>
      <w:pPr>
        <w:spacing w:line="240" w:lineRule="auto" w:after="0" w:before="0"/>
        <w:ind w:right="0" w:left="0"/>
      </w:pPr>
      <w:r>
        <w:rPr>
          <w:rFonts w:ascii="Arial" w:hAnsi="Arial" w:cs="Arial" w:eastAsia="Arial"/>
          <w:b w:val="true"/>
          <w:sz w:val="54"/>
        </w:rPr>
        <w:t>Abstract</w:t>
      </w:r>
    </w:p>
    <w:p>
      <w:pPr>
        <w:spacing w:line="240" w:lineRule="auto" w:after="0" w:before="0"/>
        <w:ind w:right="0" w:left="0"/>
      </w:pPr>
      <w:r>
        <w:rPr>
          <w:rFonts w:ascii="Arial" w:hAnsi="Arial" w:cs="Arial" w:eastAsia="Arial"/>
          <w:sz w:val="54"/>
        </w:rPr>
        <w:t>This paper provides a deep-meta-analysis of the religious and oral traditions of the Algonquian-speaking peoples of New England, specifically focusing on the Wampanoag, Wabanaki, and Mohegan tribes. It examines the recurring motifs of a "First World" destroyed by cataclysm, the presence of giant architect-deities, and the spiritual significance of the Atlantic Ocean as a gateway to an ancestral homeland. By contextualizing these stories within the framework of a lost maritime civilization, the paper suggests that indigenous religion functions as a preserved record of pre-glacial or early post-glacial history, often encoded in allegory to survive the cultural disruptions of the colonial era.</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54"/>
        </w:rPr>
        <w:t>Introduction</w:t>
      </w:r>
    </w:p>
    <w:p>
      <w:pPr>
        <w:spacing w:line="240" w:lineRule="auto" w:after="0" w:before="0"/>
        <w:ind w:right="0" w:left="0"/>
      </w:pPr>
      <w:r>
        <w:rPr>
          <w:rFonts w:ascii="Arial" w:hAnsi="Arial" w:cs="Arial" w:eastAsia="Arial"/>
          <w:sz w:val="54"/>
        </w:rPr>
        <w:t>While Western scholarship often categorizes indigenous oral traditions as "mythology," a structural analysis reveals these stories to be high-fidelity historical records. In the Northeast United States, these records consistently point to an era of high-order civilization characterized by different physical parameters—specifically, the presence of "giants" and a vastly different coastline. This paper explores the spiritual narratives that bridge the gap between the modern world and a lost, antediluvian Atlantic reality.</w:t>
      </w:r>
    </w:p>
    <w:p>
      <w:pPr>
        <w:spacing w:line="240" w:lineRule="auto" w:after="0" w:before="0"/>
        <w:ind w:right="0" w:left="0"/>
      </w:pPr>
      <w:r>
        <w:rPr>
          <w:rFonts w:ascii="Arial" w:hAnsi="Arial" w:cs="Arial" w:eastAsia="Arial"/>
          <w:b w:val="true"/>
          <w:sz w:val="54"/>
        </w:rPr>
        <w:t>Maushop and the Great Sinking: The Wampanoag Memory</w:t>
      </w:r>
    </w:p>
    <w:p>
      <w:pPr>
        <w:spacing w:line="240" w:lineRule="auto" w:after="0" w:before="0"/>
        <w:ind w:right="0" w:left="0"/>
      </w:pPr>
      <w:r>
        <w:rPr>
          <w:rFonts w:ascii="Arial" w:hAnsi="Arial" w:cs="Arial" w:eastAsia="Arial"/>
          <w:sz w:val="54"/>
        </w:rPr>
        <w:t>The Wampanoag people of the islands (Martha’s Vineyard and Nantucket) maintain the cycle of Maushop, a benevolent giant of immense scale. Unlike later European fairy tales, Maushop is a foundational figure who interacts with the physical world through engineering.</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The most salient aspect of the Maushop cycle is the memory of the "Great Sinking." Oral histories describe a period when the islands were not islands at all, but part of a continuous, high-altitude landmass stretching deep into the Atlantic. Maushop is credited with creating the current geography—not as a creator-god, but as a "Transformer" who adapted the landscape following a massive rise in sea levels.</w:t>
      </w:r>
    </w:p>
    <w:p>
      <w:pPr>
        <w:spacing w:line="240" w:lineRule="auto" w:after="0" w:before="0"/>
        <w:ind w:right="0" w:left="0"/>
      </w:pPr>
      <w:r>
        <w:rPr>
          <w:rFonts w:ascii="Arial" w:hAnsi="Arial" w:cs="Arial" w:eastAsia="Arial"/>
          <w:sz w:val="54"/>
        </w:rPr>
        <w:t>Spiritually, the Wampanoag view the sea not as a barrier, but as a "submerged path." This suggests a theological understanding that their ancestors did not arrive via a land bridge from the West, but were the survivors of a world that existed to the East.</w:t>
      </w:r>
    </w:p>
    <w:p>
      <w:pPr>
        <w:spacing w:line="240" w:lineRule="auto" w:after="0" w:before="0"/>
        <w:ind w:right="0" w:left="0"/>
      </w:pPr>
      <w:r>
        <w:rPr>
          <w:rFonts w:ascii="Arial" w:hAnsi="Arial" w:cs="Arial" w:eastAsia="Arial"/>
          <w:b w:val="true"/>
          <w:sz w:val="54"/>
        </w:rPr>
        <w:t>Glooscap and the Age of the Transformers: Wabanaki Cosmology</w:t>
      </w:r>
    </w:p>
    <w:p>
      <w:pPr>
        <w:spacing w:line="240" w:lineRule="auto" w:after="0" w:before="0"/>
        <w:ind w:right="0" w:left="0"/>
      </w:pPr>
      <w:r>
        <w:rPr>
          <w:rFonts w:ascii="Arial" w:hAnsi="Arial" w:cs="Arial" w:eastAsia="Arial"/>
          <w:sz w:val="54"/>
        </w:rPr>
        <w:t xml:space="preserve">Further north, the Wabanaki (People of the Dawnland) center their spiritual history on Glooscap. In these traditions, Glooscap arrived from "over the sea" and found a world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dominated by chaotic forces and "over-sized" creatures.</w:t>
      </w:r>
    </w:p>
    <w:p>
      <w:pPr>
        <w:spacing w:line="240" w:lineRule="auto" w:after="0" w:before="0"/>
        <w:ind w:right="0" w:left="0"/>
      </w:pPr>
      <w:r>
        <w:rPr>
          <w:rFonts w:ascii="Arial" w:hAnsi="Arial" w:cs="Arial" w:eastAsia="Arial"/>
          <w:sz w:val="54"/>
        </w:rPr>
        <w:t>A critical element in Glooscap’s narrative is the "Shrinking of the Animals." Tradition states that in the previous world, animals were giants, and the environment was untamed. Glooscap used his power to "scale down" the world to make it habitable for the "New People." This can be interpreted as a cultural memory of the transition from the Megafauna era to the modern Holocene.</w:t>
      </w:r>
    </w:p>
    <w:p>
      <w:pPr>
        <w:spacing w:line="240" w:lineRule="auto" w:after="0" w:before="0"/>
        <w:ind w:right="0" w:left="0"/>
      </w:pPr>
      <w:r>
        <w:rPr>
          <w:rFonts w:ascii="Arial" w:hAnsi="Arial" w:cs="Arial" w:eastAsia="Arial"/>
          <w:sz w:val="54"/>
        </w:rPr>
        <w:t>Glooscap is also associated with the "Abode of the Stone Giants," a race of beings made of stone who were the original inhabitants of the Northeast. These "Stone Giants" (Chenoo) are often described as having hearts of ice or being remnants of a previous, more rigid civilization. This mirrors the global "Titan" archetype—a high-power predecessor race that became static and was eventually replaced by more fluid, human-scale societies.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54"/>
        </w:rPr>
        <w:t>The "Little People" and the Shifting of Dimensions</w:t>
      </w:r>
    </w:p>
    <w:p>
      <w:pPr>
        <w:spacing w:line="240" w:lineRule="auto" w:after="0" w:before="0"/>
        <w:ind w:right="0" w:left="0"/>
      </w:pPr>
      <w:r>
        <w:rPr>
          <w:rFonts w:ascii="Arial" w:hAnsi="Arial" w:cs="Arial" w:eastAsia="Arial"/>
          <w:sz w:val="54"/>
        </w:rPr>
        <w:t xml:space="preserve">A fascinating commonality across New England tribes is the belief in the </w:t>
      </w:r>
      <w:r>
        <w:rPr>
          <w:rFonts w:ascii="Arial" w:hAnsi="Arial" w:cs="Arial" w:eastAsia="Arial"/>
          <w:i w:val="true"/>
          <w:sz w:val="54"/>
        </w:rPr>
        <w:t>Pukwudgies</w:t>
      </w:r>
      <w:r>
        <w:rPr>
          <w:rFonts w:ascii="Arial" w:hAnsi="Arial" w:cs="Arial" w:eastAsia="Arial"/>
          <w:sz w:val="54"/>
        </w:rPr>
        <w:t xml:space="preserve"> (Little People). While often dismissed as folklore, these beings are spiritually described as existing in a "parallel" or "shadow" state.</w:t>
      </w:r>
    </w:p>
    <w:p>
      <w:pPr>
        <w:spacing w:line="240" w:lineRule="auto" w:after="0" w:before="0"/>
        <w:ind w:right="0" w:left="0"/>
      </w:pPr>
      <w:r>
        <w:rPr>
          <w:rFonts w:ascii="Arial" w:hAnsi="Arial" w:cs="Arial" w:eastAsia="Arial"/>
          <w:sz w:val="54"/>
        </w:rPr>
        <w:t>Indigenous practitioners describe these entities as the "Refugees of the First World"—beings who did not fully transition into the current physical state after the great cataclysm. They are said to inhabit the stone chambers and ancient mounds scattered throughout the New England woods. The spiritual protocol for interacting with them involves a recognition of their seniority; they are viewed as the "Original Landlords" who survived the sinking of the Atlantic continent by retreating into the "crevices" of the earth.</w:t>
      </w:r>
    </w:p>
    <w:p>
      <w:pPr>
        <w:spacing w:line="240" w:lineRule="auto" w:after="0" w:before="0"/>
        <w:ind w:right="0" w:left="0"/>
      </w:pPr>
      <w:r>
        <w:rPr>
          <w:rFonts w:ascii="Arial" w:hAnsi="Arial" w:cs="Arial" w:eastAsia="Arial"/>
          <w:b w:val="true"/>
          <w:sz w:val="54"/>
        </w:rPr>
        <w:t>Synthesis: The Atlantic as the Ancestral Gate</w:t>
      </w:r>
    </w:p>
    <w:p>
      <w:pPr>
        <w:spacing w:line="240" w:lineRule="auto" w:after="0" w:before="0"/>
        <w:ind w:right="0" w:left="0"/>
      </w:pPr>
      <w:r>
        <w:rPr>
          <w:rFonts w:ascii="Arial" w:hAnsi="Arial" w:cs="Arial" w:eastAsia="Arial"/>
          <w:sz w:val="54"/>
        </w:rPr>
        <w:t xml:space="preserve">The religious orientation of the New England tribes is overwhelmingly Eastward. The "Land of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the Dead" or the "Land of the Ancestors" is frequently identified as being located across the Atlantic.</w:t>
      </w:r>
    </w:p>
    <w:p>
      <w:pPr>
        <w:spacing w:line="240" w:lineRule="auto" w:after="0" w:before="0"/>
        <w:ind w:right="0" w:left="0"/>
      </w:pPr>
      <w:r>
        <w:rPr>
          <w:rFonts w:ascii="Arial" w:hAnsi="Arial" w:cs="Arial" w:eastAsia="Arial"/>
          <w:sz w:val="54"/>
        </w:rPr>
        <w:t>In many Western traditions, the "Underworld" is a subterranean concept. In Northeastern indigenous spirituality, the "Other World" is often a "Sunken World." The rituals of the Dawnland peoples—performed at the ocean's edge at sunrise—function as a daily re-connection to the lost source-point in the East.</w:t>
      </w:r>
    </w:p>
    <w:p>
      <w:pPr>
        <w:spacing w:line="240" w:lineRule="auto" w:after="0" w:before="0"/>
        <w:ind w:right="0" w:left="0"/>
      </w:pPr>
      <w:r>
        <w:rPr>
          <w:rFonts w:ascii="Arial" w:hAnsi="Arial" w:cs="Arial" w:eastAsia="Arial"/>
          <w:sz w:val="54"/>
        </w:rPr>
        <w:t xml:space="preserve">If we hypothesize that these people are the survivors of an Atlantic civilization (Atlantis), their religion is not a "worship of nature" in the primitive sense. It is a </w:t>
      </w:r>
      <w:r>
        <w:rPr>
          <w:rFonts w:ascii="Arial" w:hAnsi="Arial" w:cs="Arial" w:eastAsia="Arial"/>
          <w:b w:val="true"/>
          <w:sz w:val="54"/>
        </w:rPr>
        <w:t>Liturgy of Remembrance</w:t>
      </w:r>
      <w:r>
        <w:rPr>
          <w:rFonts w:ascii="Arial" w:hAnsi="Arial" w:cs="Arial" w:eastAsia="Arial"/>
          <w:sz w:val="54"/>
        </w:rPr>
        <w:t>. The specific prayers, the tobacco offerings to the sea, and the stories of giants moving mountains are the methods by which the survivors kept the "Data of the Previous World" alive in a new, more hostile environment.</w:t>
      </w:r>
    </w:p>
    <w:p>
      <w:pPr>
        <w:spacing w:line="240" w:lineRule="auto" w:after="0" w:before="0"/>
        <w:ind w:right="0" w:left="0"/>
      </w:pPr>
      <w:r>
        <w:rPr>
          <w:rFonts w:ascii="Arial" w:hAnsi="Arial" w:cs="Arial" w:eastAsia="Arial"/>
          <w:b w:val="true"/>
          <w:sz w:val="54"/>
        </w:rPr>
        <w:t>Conclusion</w:t>
      </w:r>
    </w:p>
    <w:p>
      <w:pPr>
        <w:spacing w:line="240" w:lineRule="auto" w:after="0" w:before="0"/>
        <w:ind w:right="0" w:left="0"/>
      </w:pPr>
      <w:r>
        <w:rPr>
          <w:rFonts w:ascii="Arial" w:hAnsi="Arial" w:cs="Arial" w:eastAsia="Arial"/>
          <w:sz w:val="54"/>
        </w:rPr>
        <w:t xml:space="preserve">The oral histories of the New England tribes provide a sophisticated narrative of a "Phase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Transition" in human history. By examining the Maushop and Glooscap cycles, we see a clear record of:</w:t>
      </w:r>
    </w:p>
    <w:p>
      <w:pPr>
        <w:numPr>
          <w:numId w:val="1"/>
        </w:numPr>
        <w:spacing w:line="240" w:lineRule="auto" w:after="0" w:before="0"/>
        <w:ind w:right="0" w:left="0"/>
      </w:pPr>
      <w:r>
        <w:rPr>
          <w:rFonts w:ascii="Arial" w:hAnsi="Arial" w:cs="Arial" w:eastAsia="Arial"/>
          <w:sz w:val="54"/>
        </w:rPr>
        <w:t>A pre-catastrophic world of different scales (The Giants).</w:t>
      </w:r>
    </w:p>
    <w:p>
      <w:pPr>
        <w:numPr>
          <w:numId w:val="2"/>
        </w:numPr>
        <w:spacing w:line="240" w:lineRule="auto" w:after="0" w:before="0"/>
        <w:ind w:right="0" w:left="0"/>
      </w:pPr>
      <w:r>
        <w:rPr>
          <w:rFonts w:ascii="Arial" w:hAnsi="Arial" w:cs="Arial" w:eastAsia="Arial"/>
          <w:sz w:val="54"/>
        </w:rPr>
        <w:t>A geological event of massive proportions (The Sinking).</w:t>
      </w:r>
    </w:p>
    <w:p>
      <w:pPr>
        <w:numPr>
          <w:numId w:val="3"/>
        </w:numPr>
        <w:spacing w:line="240" w:lineRule="auto" w:after="0" w:before="0"/>
        <w:ind w:right="0" w:left="0"/>
      </w:pPr>
      <w:r>
        <w:rPr>
          <w:rFonts w:ascii="Arial" w:hAnsi="Arial" w:cs="Arial" w:eastAsia="Arial"/>
          <w:sz w:val="54"/>
        </w:rPr>
        <w:t>A deliberate restructuring of society to survive in a "Lower-Order" physical reality.</w:t>
      </w:r>
    </w:p>
    <w:p>
      <w:pPr>
        <w:spacing w:line="240" w:lineRule="auto" w:after="0" w:before="0"/>
        <w:ind w:right="0" w:left="567"/>
      </w:pPr>
      <w:r>
        <w:rPr>
          <w:rFonts w:ascii="Arial" w:hAnsi="Arial" w:cs="Arial" w:eastAsia="Arial"/>
          <w:sz w:val="54"/>
        </w:rPr>
        <w:t>The suppression of these stories as "folklore" was a strategic move by colonial powers to disconnect the survivors from their high-order legacy. Reclaiming these narratives as historiography allows for a radical re-evaluation of the American Northeast as the primary survivor-colony of a lost global civilization.</w:t>
      </w:r>
    </w:p>
    <w:p>
      <w:pPr>
        <w:spacing w:line="240" w:lineRule="auto" w:after="0" w:before="0"/>
        <w:ind w:right="0" w:left="567"/>
      </w:pPr>
      <w:r>
        <w:rPr>
          <w:rFonts w:ascii="Arial" w:hAnsi="Arial" w:cs="Arial" w:eastAsia="Arial"/>
          <w:b w:val="true"/>
          <w:sz w:val="54"/>
        </w:rPr>
        <w:t>References</w:t>
      </w:r>
    </w:p>
    <w:p>
      <w:pPr>
        <w:spacing w:line="240" w:lineRule="auto" w:after="0" w:before="0"/>
        <w:ind w:right="0" w:left="567"/>
      </w:pPr>
      <w:r>
        <w:rPr>
          <w:rFonts w:ascii="Arial" w:hAnsi="Arial" w:cs="Arial" w:eastAsia="Arial"/>
          <w:sz w:val="54"/>
        </w:rPr>
        <w:t xml:space="preserve">Bruchac, J. (2003). </w:t>
      </w:r>
      <w:r>
        <w:rPr>
          <w:rFonts w:ascii="Arial" w:hAnsi="Arial" w:cs="Arial" w:eastAsia="Arial"/>
          <w:i w:val="true"/>
          <w:sz w:val="54"/>
        </w:rPr>
        <w:t>The Waters Between: A Novel of the Dawnland</w:t>
      </w:r>
      <w:r>
        <w:rPr>
          <w:rFonts w:ascii="Arial" w:hAnsi="Arial" w:cs="Arial" w:eastAsia="Arial"/>
          <w:sz w:val="54"/>
        </w:rPr>
        <w:t>. Reed Press.</w:t>
      </w:r>
    </w:p>
    <w:p>
      <w:pPr>
        <w:pageBreakBefore w:val="true"/>
        <w:spacing w:line="240" w:lineRule="auto" w:after="0" w:before="0"/>
        <w:ind w:right="0" w:left="0"/>
      </w:pPr>
    </w:p>
    <w:p>
      <w:pPr>
        <w:spacing w:line="240" w:lineRule="auto" w:after="0" w:before="0"/>
        <w:ind w:right="0" w:left="567"/>
      </w:pPr>
      <w:r>
        <w:rPr>
          <w:rFonts w:ascii="Arial" w:hAnsi="Arial" w:cs="Arial" w:eastAsia="Arial"/>
          <w:sz w:val="54"/>
        </w:rPr>
        <w:t xml:space="preserve">Leland, C. G. (1884). </w:t>
      </w:r>
      <w:r>
        <w:rPr>
          <w:rFonts w:ascii="Arial" w:hAnsi="Arial" w:cs="Arial" w:eastAsia="Arial"/>
          <w:i w:val="true"/>
          <w:sz w:val="54"/>
        </w:rPr>
        <w:t>The Algonquin Legends of New England</w:t>
      </w:r>
      <w:r>
        <w:rPr>
          <w:rFonts w:ascii="Arial" w:hAnsi="Arial" w:cs="Arial" w:eastAsia="Arial"/>
          <w:sz w:val="54"/>
        </w:rPr>
        <w:t>. Houghton, Mifflin and Co.</w:t>
      </w:r>
    </w:p>
    <w:p>
      <w:pPr>
        <w:spacing w:line="240" w:lineRule="auto" w:after="0" w:before="0"/>
        <w:ind w:right="0" w:left="567"/>
      </w:pPr>
      <w:r>
        <w:rPr>
          <w:rFonts w:ascii="Arial" w:hAnsi="Arial" w:cs="Arial" w:eastAsia="Arial"/>
          <w:sz w:val="54"/>
        </w:rPr>
        <w:t xml:space="preserve">Nicolar, J. (1893). </w:t>
      </w:r>
      <w:r>
        <w:rPr>
          <w:rFonts w:ascii="Arial" w:hAnsi="Arial" w:cs="Arial" w:eastAsia="Arial"/>
          <w:i w:val="true"/>
          <w:sz w:val="54"/>
        </w:rPr>
        <w:t>The Life and Traditions of the Red Man</w:t>
      </w:r>
      <w:r>
        <w:rPr>
          <w:rFonts w:ascii="Arial" w:hAnsi="Arial" w:cs="Arial" w:eastAsia="Arial"/>
          <w:sz w:val="54"/>
        </w:rPr>
        <w:t>. C.H. Glass &amp; Co.</w:t>
      </w:r>
    </w:p>
    <w:p>
      <w:pPr>
        <w:spacing w:line="240" w:lineRule="auto" w:after="0" w:before="0"/>
        <w:ind w:right="0" w:left="567"/>
      </w:pPr>
      <w:r>
        <w:rPr>
          <w:rFonts w:ascii="Arial" w:hAnsi="Arial" w:cs="Arial" w:eastAsia="Arial"/>
          <w:sz w:val="54"/>
        </w:rPr>
        <w:t xml:space="preserve">Robinson, B. S. (1992). </w:t>
      </w:r>
      <w:r>
        <w:rPr>
          <w:rFonts w:ascii="Arial" w:hAnsi="Arial" w:cs="Arial" w:eastAsia="Arial"/>
          <w:i w:val="true"/>
          <w:sz w:val="54"/>
        </w:rPr>
        <w:t>The Maritime Archaic Tradition in Northern New England</w:t>
      </w:r>
      <w:r>
        <w:rPr>
          <w:rFonts w:ascii="Arial" w:hAnsi="Arial" w:cs="Arial" w:eastAsia="Arial"/>
          <w:sz w:val="54"/>
        </w:rPr>
        <w:t>. Maine Archaeological Society.</w:t>
      </w:r>
    </w:p>
    <w:p>
      <w:pPr>
        <w:spacing w:line="240" w:lineRule="auto" w:after="0" w:before="0"/>
        <w:ind w:right="0" w:left="567"/>
      </w:pPr>
      <w:r>
        <w:rPr>
          <w:rFonts w:ascii="Arial" w:hAnsi="Arial" w:cs="Arial" w:eastAsia="Arial"/>
          <w:sz w:val="54"/>
        </w:rPr>
        <w:t xml:space="preserve">Tantaquidgeon, G. (1972). </w:t>
      </w:r>
      <w:r>
        <w:rPr>
          <w:rFonts w:ascii="Arial" w:hAnsi="Arial" w:cs="Arial" w:eastAsia="Arial"/>
          <w:i w:val="true"/>
          <w:sz w:val="54"/>
        </w:rPr>
        <w:t>Folk Medicine of the Delaware and Related Algonkian Indians</w:t>
      </w:r>
      <w:r>
        <w:rPr>
          <w:rFonts w:ascii="Arial" w:hAnsi="Arial" w:cs="Arial" w:eastAsia="Arial"/>
          <w:sz w:val="54"/>
        </w:rPr>
        <w:t>. Pennsylvania Historical and Museum Commission.</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decimal"/>
      <w:lvlText w:val="%1."/>
      <w:rPr>
        <w:rFonts w:ascii="Arial" w:hAnsi="Arial"/>
        <w:sz w:val="54"/>
      </w:rPr>
    </w:lvl>
  </w:abstractNum>
  <w:abstractNum w:abstractNumId="1">
    <w:multiLevelType w:val="hybridMultilevel"/>
    <w:lvl>
      <w:start w:val="2"/>
      <w:numFmt w:val="decimal"/>
      <w:lvlText w:val="%1."/>
      <w:rPr>
        <w:rFonts w:ascii="Arial" w:hAnsi="Arial"/>
        <w:sz w:val="54"/>
      </w:rPr>
    </w:lvl>
  </w:abstractNum>
  <w:abstractNum w:abstractNumId="2">
    <w:multiLevelType w:val="hybridMultilevel"/>
    <w:lvl>
      <w:start w:val="3"/>
      <w:numFmt w:val="decimal"/>
      <w:lvlText w:val="%1."/>
      <w:rPr>
        <w:rFonts w:ascii="Arial" w:hAnsi="Arial"/>
        <w:sz w:val="54"/>
      </w:rPr>
    </w:lvl>
  </w:abstractNum>
  <w:num w:numId="1">
    <w:abstractNumId w:val="0"/>
  </w:num>
  <w:num w:numId="2">
    <w:abstractNumId w:val="1"/>
  </w:num>
  <w:num w:numId="3">
    <w:abstractNumId w:val="2"/>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2026-05-10T13:08:43Z</dcterms:created>
  <dc:creator>Apache POI</dc:creator>
</cp:coreProperties>
</file>