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b w:val="true"/>
          <w:sz w:val="54"/>
        </w:rPr>
        <w:t>T</w:t>
      </w:r>
      <w:r>
        <w:rPr>
          <w:rFonts w:ascii="Arial" w:hAnsi="Arial" w:cs="Arial" w:eastAsia="Arial"/>
          <w:b w:val="true"/>
          <w:sz w:val="54"/>
        </w:rPr>
        <w:t>itle</w:t>
      </w:r>
      <w:r>
        <w:rPr>
          <w:rFonts w:ascii="Arial" w:hAnsi="Arial" w:cs="Arial" w:eastAsia="Arial"/>
          <w:sz w:val="54"/>
        </w:rPr>
        <w:t>: The Atlantic Arc: Architectural and Mythological Convergence in Pre-Colonial New England and the Maritime Archaic</w:t>
      </w:r>
    </w:p>
    <w:p>
      <w:pPr>
        <w:spacing w:line="240" w:lineRule="auto" w:after="0" w:before="0"/>
        <w:ind w:right="0" w:left="0"/>
      </w:pPr>
      <w:r>
        <w:rPr>
          <w:rFonts w:ascii="Arial" w:hAnsi="Arial" w:cs="Arial" w:eastAsia="Arial"/>
          <w:b w:val="true"/>
          <w:sz w:val="54"/>
        </w:rPr>
        <w:t>Abstract</w:t>
      </w:r>
    </w:p>
    <w:p>
      <w:pPr>
        <w:spacing w:line="240" w:lineRule="auto" w:after="0" w:before="0"/>
        <w:ind w:right="0" w:left="0"/>
      </w:pPr>
      <w:r>
        <w:rPr>
          <w:rFonts w:ascii="Arial" w:hAnsi="Arial" w:cs="Arial" w:eastAsia="Arial"/>
          <w:sz w:val="54"/>
        </w:rPr>
        <w:t>This paper explores the hypothesis of a shared, high-order maritime civilization predating modern historical records, with a specific focus on the Northeast region of North America. By synthesizing archaeological evidence of megalithic structures in New England, oral traditions of "giant" progenitors among Algonquian-speaking peoples, and the legal framework of the Doctrine of Discovery, this study proposes that indigenous populations in the Americas may represent the survivors of an antediluvian Atlantic culture. The paper argues that the systematic suppression of this narrative was a foundational requirement for European colonial expansion and the establishment of current jurisdictional authority.</w:t>
      </w:r>
    </w:p>
    <w:p>
      <w:pPr>
        <w:spacing w:line="240" w:lineRule="auto" w:after="0" w:before="0"/>
        <w:ind w:right="0" w:left="0"/>
      </w:pPr>
      <w:r>
        <w:rPr>
          <w:rFonts w:ascii="Arial" w:hAnsi="Arial" w:cs="Arial" w:eastAsia="Arial"/>
          <w:b w:val="true"/>
          <w:sz w:val="54"/>
        </w:rPr>
        <w:t>Introduction</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The traditional model of human migration to the Americas—primarily the Bering Land Bridge theory—has long served as the academic standard. However, a growing body of anomalous archaeological data and persistent oral histories suggests a more complex, Atlantic-centric origin for several Eastern Seaboard cultures. This paper examines the possibility that the "New World" was, in fact, an established outpost of a global maritime civilization that suffered a catastrophic collapse, leaving behind remnants in the form of advanced stone architecture and a "mythology of giants" that was later suppressed by colonial religious and political institutions.</w:t>
      </w:r>
    </w:p>
    <w:p>
      <w:pPr>
        <w:spacing w:line="240" w:lineRule="auto" w:after="0" w:before="0"/>
        <w:ind w:right="0" w:left="0"/>
      </w:pPr>
      <w:r>
        <w:rPr>
          <w:rFonts w:ascii="Arial" w:hAnsi="Arial" w:cs="Arial" w:eastAsia="Arial"/>
          <w:b w:val="true"/>
          <w:sz w:val="54"/>
        </w:rPr>
        <w:t>The Doctrine of Discovery and the Erasure of History</w:t>
      </w:r>
    </w:p>
    <w:p>
      <w:pPr>
        <w:spacing w:line="240" w:lineRule="auto" w:after="0" w:before="0"/>
        <w:ind w:right="0" w:left="0"/>
      </w:pPr>
      <w:r>
        <w:rPr>
          <w:rFonts w:ascii="Arial" w:hAnsi="Arial" w:cs="Arial" w:eastAsia="Arial"/>
          <w:sz w:val="54"/>
        </w:rPr>
        <w:t xml:space="preserve">To understand why evidence of a high-order past is often absent from mainstream discourse, one must examine the legal mechanisms of the 15th century. The Doctrine of Discovery, established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 xml:space="preserve">through papal bulls such as </w:t>
      </w:r>
      <w:r>
        <w:rPr>
          <w:rFonts w:ascii="Arial" w:hAnsi="Arial" w:cs="Arial" w:eastAsia="Arial"/>
          <w:i w:val="true"/>
          <w:sz w:val="54"/>
        </w:rPr>
        <w:t>Inter Caetera</w:t>
      </w:r>
      <w:r>
        <w:rPr>
          <w:rFonts w:ascii="Arial" w:hAnsi="Arial" w:cs="Arial" w:eastAsia="Arial"/>
          <w:sz w:val="54"/>
        </w:rPr>
        <w:t xml:space="preserve"> (1493), provided the spiritual and legal justification for European powers to seize lands inhabited by non-Christians (Miller, 2011).</w:t>
      </w:r>
    </w:p>
    <w:p>
      <w:pPr>
        <w:spacing w:line="240" w:lineRule="auto" w:after="0" w:before="0"/>
        <w:ind w:right="0" w:left="0"/>
      </w:pPr>
      <w:r>
        <w:rPr>
          <w:rFonts w:ascii="Arial" w:hAnsi="Arial" w:cs="Arial" w:eastAsia="Arial"/>
          <w:sz w:val="54"/>
        </w:rPr>
        <w:t xml:space="preserve">By categorizing indigenous lands as </w:t>
      </w:r>
      <w:r>
        <w:rPr>
          <w:rFonts w:ascii="Arial" w:hAnsi="Arial" w:cs="Arial" w:eastAsia="Arial"/>
          <w:i w:val="true"/>
          <w:sz w:val="54"/>
        </w:rPr>
        <w:t>terra nullius</w:t>
      </w:r>
      <w:r>
        <w:rPr>
          <w:rFonts w:ascii="Arial" w:hAnsi="Arial" w:cs="Arial" w:eastAsia="Arial"/>
          <w:sz w:val="54"/>
        </w:rPr>
        <w:t xml:space="preserve"> (nobody's land), the Vatican and European crowns effectively invalidated the existing history and sovereignty of the inhabitants. This "systematic erasure" was not merely a byproduct of conquest but a strategic necessity. If indigenous populations were recognized as the heirs to a sophisticated, antediluvian civilization—one perhaps older and more technologically advanced than Europe’s—the moral and legal basis for the "civilizing" mission of the Church would have been rendered void.</w:t>
      </w:r>
    </w:p>
    <w:p>
      <w:pPr>
        <w:spacing w:line="240" w:lineRule="auto" w:after="0" w:before="0"/>
        <w:ind w:right="0" w:left="0"/>
      </w:pPr>
      <w:r>
        <w:rPr>
          <w:rFonts w:ascii="Arial" w:hAnsi="Arial" w:cs="Arial" w:eastAsia="Arial"/>
          <w:b w:val="true"/>
          <w:sz w:val="54"/>
        </w:rPr>
        <w:t>Megalithic Consistency: The New England Stone Chambers</w:t>
      </w:r>
    </w:p>
    <w:p>
      <w:pPr>
        <w:spacing w:line="240" w:lineRule="auto" w:after="0" w:before="0"/>
        <w:ind w:right="0" w:left="0"/>
      </w:pPr>
      <w:r>
        <w:rPr>
          <w:rFonts w:ascii="Arial" w:hAnsi="Arial" w:cs="Arial" w:eastAsia="Arial"/>
          <w:sz w:val="54"/>
        </w:rPr>
        <w:t xml:space="preserve">One of the most salient pieces of physical evidence for a shared Atlantic culture is the presence of thousands of dry-stone structures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across New England. Sites such as "America’s Stonehenge" in Salem, New Hampshire, and various stone chambers in the Gungywamp complex of Connecticut, exhibit architectural features strikingly similar to the megalithic structures found in Western Europe and the British Isles.</w:t>
      </w:r>
    </w:p>
    <w:p>
      <w:pPr>
        <w:spacing w:line="240" w:lineRule="auto" w:after="0" w:before="0"/>
        <w:ind w:right="0" w:left="0"/>
      </w:pPr>
      <w:r>
        <w:rPr>
          <w:rFonts w:ascii="Arial" w:hAnsi="Arial" w:cs="Arial" w:eastAsia="Arial"/>
          <w:sz w:val="54"/>
        </w:rPr>
        <w:t>These structures often incorporate astronomical alignments and sophisticated drainage systems that suggest a high level of engineering. While colonial-era historians frequently dismissed these as "root cellars" built by early farmers, the labor-intensive nature of their construction and their alignment with solar solstices suggest a much older, ceremonial, or scientific purpose (Mavor &amp; Dix, 1989). The existence of these monuments suggests a "maritime arc" where the same architectural grammar was utilized on both sides of the Atlantic, long before the arrival of Christopher Columbus.</w:t>
      </w:r>
    </w:p>
    <w:p>
      <w:pPr>
        <w:spacing w:line="240" w:lineRule="auto" w:after="0" w:before="0"/>
        <w:ind w:right="0" w:left="0"/>
      </w:pPr>
      <w:r>
        <w:rPr>
          <w:rFonts w:ascii="Arial" w:hAnsi="Arial" w:cs="Arial" w:eastAsia="Arial"/>
          <w:b w:val="true"/>
          <w:sz w:val="54"/>
        </w:rPr>
        <w:t xml:space="preserve">The Archetype of the Giant: Oral Traditions as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54"/>
        </w:rPr>
        <w:t>Historical Memory</w:t>
      </w:r>
    </w:p>
    <w:p>
      <w:pPr>
        <w:spacing w:line="240" w:lineRule="auto" w:after="0" w:before="0"/>
        <w:ind w:right="0" w:left="0"/>
      </w:pPr>
      <w:r>
        <w:rPr>
          <w:rFonts w:ascii="Arial" w:hAnsi="Arial" w:cs="Arial" w:eastAsia="Arial"/>
          <w:sz w:val="54"/>
        </w:rPr>
        <w:t>In the oral traditions of the Wampanoag, Mohegan, and Wabanaki peoples, the landscape of the Northeast was shaped by "Giant" beings. Figures such as Maushop and Glooscap are described not as mere myths, but as historical architects who possessed the strength to move boulders, alter the courses of rivers, and create islands (Simmons, 1986).</w:t>
      </w:r>
    </w:p>
    <w:p>
      <w:pPr>
        <w:spacing w:line="240" w:lineRule="auto" w:after="0" w:before="0"/>
        <w:ind w:right="0" w:left="0"/>
      </w:pPr>
      <w:r>
        <w:rPr>
          <w:rFonts w:ascii="Arial" w:hAnsi="Arial" w:cs="Arial" w:eastAsia="Arial"/>
          <w:sz w:val="54"/>
        </w:rPr>
        <w:t xml:space="preserve">When viewed through a historical lens, these "giants" may represent a cultural memory of a previous age's ruling class or a technologically advanced predecessor. Many indigenous accounts describe a "Great Sinking" or a time when the islands were part of a larger landmass that was reclaimed by the sea—a narrative that mirrors the legend of Atlantis popularized by Plato and later analyzed by Ignatius Donnelly (1882). If the Americas were the western nodes of a sinking Atlantic continent, the "giants" of oral history may be the literal descriptions of a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highly-developed sea-faring people who sought refuge in the American Northeast.</w:t>
      </w:r>
    </w:p>
    <w:p>
      <w:pPr>
        <w:spacing w:line="240" w:lineRule="auto" w:after="0" w:before="0"/>
        <w:ind w:right="0" w:left="0"/>
      </w:pPr>
      <w:r>
        <w:rPr>
          <w:rFonts w:ascii="Arial" w:hAnsi="Arial" w:cs="Arial" w:eastAsia="Arial"/>
          <w:b w:val="true"/>
          <w:sz w:val="54"/>
        </w:rPr>
        <w:t>Linguistic and Genetic Anomalies</w:t>
      </w:r>
    </w:p>
    <w:p>
      <w:pPr>
        <w:spacing w:line="240" w:lineRule="auto" w:after="0" w:before="0"/>
        <w:ind w:right="0" w:left="0"/>
      </w:pPr>
      <w:r>
        <w:rPr>
          <w:rFonts w:ascii="Arial" w:hAnsi="Arial" w:cs="Arial" w:eastAsia="Arial"/>
          <w:sz w:val="54"/>
        </w:rPr>
        <w:t>The linguistic roots of certain Eastern tribes show a curious lack of connection to Western or Siberian dialects, instead exhibiting unique structures that some researchers link to ancient Mediterranean or Atlantic groups. Furthermore, the presence of specific genetic markers and the distribution of the Red Paint People (Maritime Archaic) along the Maine and Canadian coasts indicate a culture that was highly adapted to open-ocean navigation over 5,000 years ago (Sanger, 1973). This culture's reliance on sea-based trade and advanced tool-making suggests they were part of a larger, global network rather than isolated hunter-gatherers.</w:t>
      </w:r>
    </w:p>
    <w:p>
      <w:pPr>
        <w:spacing w:line="240" w:lineRule="auto" w:after="0" w:before="0"/>
        <w:ind w:right="0" w:left="0"/>
      </w:pPr>
      <w:r>
        <w:rPr>
          <w:rFonts w:ascii="Arial" w:hAnsi="Arial" w:cs="Arial" w:eastAsia="Arial"/>
          <w:b w:val="true"/>
          <w:sz w:val="54"/>
        </w:rPr>
        <w:t>Conclusion</w:t>
      </w:r>
    </w:p>
    <w:p>
      <w:pPr>
        <w:spacing w:line="240" w:lineRule="auto" w:after="0" w:before="0"/>
        <w:ind w:right="0" w:left="0"/>
      </w:pPr>
      <w:r>
        <w:rPr>
          <w:rFonts w:ascii="Arial" w:hAnsi="Arial" w:cs="Arial" w:eastAsia="Arial"/>
          <w:sz w:val="54"/>
        </w:rPr>
        <w:t xml:space="preserve">The convergence of megalithic architecture, "giant" oral histories, and the deliberate legal suppression of indigenous history suggests that the Northeast United States is a significant site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for understanding a lost global civilization. The Doctrine of Discovery acted as a "historical firewall," preventing the integration of these findings into the modern narrative of progress. By re-evaluating the Native American population not as primitive arrivals, but as the sovereign survivors of a sophisticated Atlantic predecessor, we begin to uncover a history that is significantly deeper and more complex than currently acknowledged.</w:t>
      </w:r>
    </w:p>
    <w:p>
      <w:pPr>
        <w:spacing w:line="240" w:lineRule="auto" w:after="0" w:before="0"/>
        <w:ind w:right="0" w:left="0"/>
      </w:pPr>
      <w:r>
        <w:rPr>
          <w:rFonts w:ascii="Arial" w:hAnsi="Arial" w:cs="Arial" w:eastAsia="Arial"/>
          <w:b w:val="true"/>
          <w:sz w:val="54"/>
        </w:rPr>
        <w:t>References</w:t>
      </w:r>
    </w:p>
    <w:p>
      <w:pPr>
        <w:spacing w:line="240" w:lineRule="auto" w:after="0" w:before="0"/>
        <w:ind w:right="0" w:left="0"/>
      </w:pPr>
      <w:r>
        <w:rPr>
          <w:rFonts w:ascii="Arial" w:hAnsi="Arial" w:cs="Arial" w:eastAsia="Arial"/>
          <w:sz w:val="54"/>
        </w:rPr>
        <w:t xml:space="preserve">Donnelly, I. (1882). </w:t>
      </w:r>
      <w:r>
        <w:rPr>
          <w:rFonts w:ascii="Arial" w:hAnsi="Arial" w:cs="Arial" w:eastAsia="Arial"/>
          <w:i w:val="true"/>
          <w:sz w:val="54"/>
        </w:rPr>
        <w:t>Atlantis: The Antediluvian World</w:t>
      </w:r>
      <w:r>
        <w:rPr>
          <w:rFonts w:ascii="Arial" w:hAnsi="Arial" w:cs="Arial" w:eastAsia="Arial"/>
          <w:sz w:val="54"/>
        </w:rPr>
        <w:t>. Harper &amp; Brothers.</w:t>
      </w:r>
    </w:p>
    <w:p>
      <w:pPr>
        <w:spacing w:line="240" w:lineRule="auto" w:after="0" w:before="0"/>
        <w:ind w:right="0" w:left="0"/>
      </w:pPr>
      <w:r>
        <w:rPr>
          <w:rFonts w:ascii="Arial" w:hAnsi="Arial" w:cs="Arial" w:eastAsia="Arial"/>
          <w:sz w:val="54"/>
        </w:rPr>
        <w:t xml:space="preserve">Mavor, J. W., &amp; Dix, B. E. (1989). </w:t>
      </w:r>
      <w:r>
        <w:rPr>
          <w:rFonts w:ascii="Arial" w:hAnsi="Arial" w:cs="Arial" w:eastAsia="Arial"/>
          <w:i w:val="true"/>
          <w:sz w:val="54"/>
        </w:rPr>
        <w:t>Manitou: The Sacred Landscape of New England's Native Civilization</w:t>
      </w:r>
      <w:r>
        <w:rPr>
          <w:rFonts w:ascii="Arial" w:hAnsi="Arial" w:cs="Arial" w:eastAsia="Arial"/>
          <w:sz w:val="54"/>
        </w:rPr>
        <w:t>. Inner Traditions.</w:t>
      </w:r>
    </w:p>
    <w:p>
      <w:pPr>
        <w:spacing w:line="240" w:lineRule="auto" w:after="0" w:before="0"/>
        <w:ind w:right="0" w:left="0"/>
      </w:pPr>
      <w:r>
        <w:rPr>
          <w:rFonts w:ascii="Arial" w:hAnsi="Arial" w:cs="Arial" w:eastAsia="Arial"/>
          <w:sz w:val="54"/>
        </w:rPr>
        <w:t xml:space="preserve">Miller, R. J. (2011). </w:t>
      </w:r>
      <w:r>
        <w:rPr>
          <w:rFonts w:ascii="Arial" w:hAnsi="Arial" w:cs="Arial" w:eastAsia="Arial"/>
          <w:i w:val="true"/>
          <w:sz w:val="54"/>
        </w:rPr>
        <w:t>The Doctrine of Discovery: The International Law of Colonialism</w:t>
      </w:r>
      <w:r>
        <w:rPr>
          <w:rFonts w:ascii="Arial" w:hAnsi="Arial" w:cs="Arial" w:eastAsia="Arial"/>
          <w:sz w:val="54"/>
        </w:rPr>
        <w:t>. Lewis &amp; Clark Law Review.</w:t>
      </w:r>
    </w:p>
    <w:p>
      <w:pPr>
        <w:spacing w:line="240" w:lineRule="auto" w:after="0" w:before="0"/>
        <w:ind w:right="0" w:left="0"/>
      </w:pPr>
      <w:r>
        <w:rPr>
          <w:rFonts w:ascii="Arial" w:hAnsi="Arial" w:cs="Arial" w:eastAsia="Arial"/>
          <w:sz w:val="54"/>
        </w:rPr>
        <w:t xml:space="preserve">Sanger, D. (1973). </w:t>
      </w:r>
      <w:r>
        <w:rPr>
          <w:rFonts w:ascii="Arial" w:hAnsi="Arial" w:cs="Arial" w:eastAsia="Arial"/>
          <w:i w:val="true"/>
          <w:sz w:val="54"/>
        </w:rPr>
        <w:t>Cow Point: An Archaic Cemetery in New Brunswick</w:t>
      </w:r>
      <w:r>
        <w:rPr>
          <w:rFonts w:ascii="Arial" w:hAnsi="Arial" w:cs="Arial" w:eastAsia="Arial"/>
          <w:sz w:val="54"/>
        </w:rPr>
        <w:t xml:space="preserve">. National Museum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of Man.</w:t>
      </w:r>
    </w:p>
    <w:p>
      <w:pPr>
        <w:spacing w:line="240" w:lineRule="auto" w:after="0" w:before="0"/>
        <w:ind w:right="0" w:left="0"/>
      </w:pPr>
      <w:r>
        <w:rPr>
          <w:rFonts w:ascii="Arial" w:hAnsi="Arial" w:cs="Arial" w:eastAsia="Arial"/>
          <w:sz w:val="54"/>
        </w:rPr>
        <w:t xml:space="preserve">Simmons, W. S. (1986). </w:t>
      </w:r>
      <w:r>
        <w:rPr>
          <w:rFonts w:ascii="Arial" w:hAnsi="Arial" w:cs="Arial" w:eastAsia="Arial"/>
          <w:i w:val="true"/>
          <w:sz w:val="54"/>
        </w:rPr>
        <w:t>Spirit of the New England Tribes: Indian History and Folklore, 1620-1984</w:t>
      </w:r>
      <w:r>
        <w:rPr>
          <w:rFonts w:ascii="Arial" w:hAnsi="Arial" w:cs="Arial" w:eastAsia="Arial"/>
          <w:sz w:val="54"/>
        </w:rPr>
        <w:t>. University Press of New England.</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2026-05-10T13:08:59Z</dcterms:created>
  <dc:creator>Apache POI</dc:creator>
</cp:coreProperties>
</file>