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Pathological Attractors in Constraint Topology: Synthesizing Neuro-Immunology, Toxicological Degradation, and the Dimension-W Projector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Independent Research </w:t>
      </w:r>
      <w:r w:rsidDel="00000000" w:rsidR="00000000" w:rsidRPr="00000000">
        <w:rPr>
          <w:b w:val="1"/>
          <w:bCs w:val="1"/>
          <w:rtl w:val="0"/>
        </w:rPr>
        <w:t xml:space="preserve">Date:</w:t>
      </w:r>
      <w:r w:rsidDel="00000000" w:rsidR="00000000" w:rsidRPr="00000000">
        <w:rPr>
          <w:rtl w:val="0"/>
        </w:rPr>
        <w:t xml:space="preserve"> June 3,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Contemporary clinical paradigms consistently treat chronic physiological and psychiatric conditions as isolated, localized failures of distinct organ systems. This paper proposes a unified theoretical framework utilizing Bidirectional Constraint Closure (BCC) and Constraint Topology Medicine (CTM) to recontextualize systemic disease as a multi-scale, fractal collapse of biological constraint regimes. By synthesizing recent literature in environmental toxicology, vagal-mast cell dynamics, and psychiatric phenomenology, we demonstrate that both physical inflammation and cognitive fragmentation arise from the degradation of primary boundary conditions (C- constraints). Furthermore, these biological insights are integrated with the Dimension-W hypothesis, defining Dimension-W mathematically as the space of possible histories operating via Constraint Projection. Under this framework, severe conditions such as Post-Traumatic Stress Disorder (PTSD) and Schizophrenia are modeled as topological deformations of the conscious field, where the localized cognitive projector either locks into high-precision survival priors or undergoes catastrophic temporal desynchronization. Finally, we establish the Principle of Conservation of Constraint and the Unified Resonance Model of Pathology to guide future targeted bio-informational interventions.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escalation of complex, multi-systemic chronic disorders presents a profound challenge to reductionist allopathic medicine. Standard frameworks often separate enteric distress, neurodegenerative decay, and psychiatric processing into rigid silos. To achieve resolution, the organism must be evaluated as a unified thermodynamic and informational system governed by hierarchical layers of constraint.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Utilizing the principles of Bidirectional Constraint Closure (BCC) and Constraint Topology Medicine (CTM), this paper establishes how structural boundaries maintain the systemic equilibrium necessary for conscious processing (the Reflective Interface). We map the cascade through which environmental toxicological insults break down localized biological hardware, corrupting the foundational data invariants of the organism and fundamentally warping the operation of the conscious cognitive projector.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Fractal Degradation of Biological Boundaries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systems maintain identity and functionality by implementing definitive boundary conditions, designated as C- constraints. These boundaries prevent entropy by separating internal homeostatic mechanisms from environmental noise. Modern industrial toxins act as direct, physical constraint-breakers across multiple scales: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Enteric Barrier and Mucosal Dissolution:</w:t>
      </w:r>
      <w:r w:rsidDel="00000000" w:rsidR="00000000" w:rsidRPr="00000000">
        <w:rPr>
          <w:rtl w:val="0"/>
        </w:rPr>
        <w:t xml:space="preserve"> Dietary emulsifiers, including carboxymethylcellulose (CMC) and polysorbate-80 (P80), directly alter human microbiota gene expression ex vivo and erode the protective intestinal mucus layer in vivo, forcing bacterial encroachment and chronic localized inflammation (Chassaing et al., 2015). Concurrently, widespread exposure to the herbicide glyphosate drives the upregulation of zonulin, disarming the tight junction matrix by dismantling essential barrier proteins like claudin and occludin (Samsel &amp; Seneff, 2013).</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Vagal-Mast Cell Autonomic Collapse:</w:t>
      </w:r>
      <w:r w:rsidDel="00000000" w:rsidR="00000000" w:rsidRPr="00000000">
        <w:rPr>
          <w:rtl w:val="0"/>
        </w:rPr>
        <w:t xml:space="preserve"> Once these primary physical boundaries are breached, the systemic architecture undergoes top-down degradation. The loss of mucosal and tight junction integrity permits sustained inflammatory signaling to reach the vagus nerve, inducing profound structural atrophy. Neuromuscular ultrasound profiling confirms significant cross-sectional area (CSA) reduction and bilateral atrophy of the vagus nerve in compromised subjects (Karam et al., 2020). This structural degradation strips the autonomic nervous system of its primary parasympathetic, cholinergic anti-inflammatory brake, leaving localized mast cells in a state of unrestrained, hyper-vigilant degranulation (Trias et al., 2018).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biological systems organize fractally, this exact configuration of degraded boundary constraints scales upward throughout the organism, dictating specific end-stage pathological presentations: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[Environmental Breach: Glyphosate/Emulsifiers] </w:t>
        <w:br w:type="textWrapping"/>
        <w:t xml:space="preserve">                      │</w:t>
        <w:br w:type="textWrapping"/>
        <w:t xml:space="preserve">                      ▼</w:t>
        <w:br w:type="textWrapping"/>
        <w:t xml:space="preserve">[Tight Junction Dissolution &amp; Mucosal Thinning]</w:t>
        <w:br w:type="textWrapping"/>
        <w:t xml:space="preserve">                      │</w:t>
        <w:br w:type="textWrapping"/>
        <w:t xml:space="preserve">                      ▼</w:t>
        <w:br w:type="textWrapping"/>
        <w:t xml:space="preserve">[Vagal Atrophy / Loss of Cholinergic Brake]</w:t>
        <w:br w:type="textWrapping"/>
        <w:t xml:space="preserve">                      │</w:t>
        <w:br w:type="textWrapping"/>
        <w:t xml:space="preserve">                      ▼</w:t>
        <w:br w:type="textWrapping"/>
        <w:t xml:space="preserve">[Chronic Unrestrained Mast Cell Degranulation]</w:t>
        <w:br w:type="textWrapping"/>
        <w:t xml:space="preserve">                      │</w:t>
        <w:br w:type="textWrapping"/>
        <w:t xml:space="preserve">       ┌──────────────┼──────────────┐</w:t>
        <w:br w:type="textWrapping"/>
        <w:t xml:space="preserve">       ▼              ▼              ▼</w:t>
        <w:br w:type="textWrapping"/>
        <w:t xml:space="preserve">[Enteric Scale: IBS] [Central Scale: MS] [Motor Scale: ALS]</w:t>
        <w:br w:type="textWrapping"/>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Enteric Scale (Irritable Bowel Syndrome):</w:t>
      </w:r>
      <w:r w:rsidDel="00000000" w:rsidR="00000000" w:rsidRPr="00000000">
        <w:rPr>
          <w:rtl w:val="0"/>
        </w:rPr>
        <w:t xml:space="preserve"> Characterized by localized mast cell hyper-reactivity adjacent to atrophied enteric mucosal surfaces, producing chaotic visceral hypersensitivity.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 Scale (Multiple Sclerosis):</w:t>
      </w:r>
      <w:r w:rsidDel="00000000" w:rsidR="00000000" w:rsidRPr="00000000">
        <w:rPr>
          <w:rtl w:val="0"/>
        </w:rPr>
        <w:t xml:space="preserve"> Cytokine cascades breach the blood-brain barrier (BBB), permitting peripheral immune cells to infiltrate the central nervous system parenchyma and drive autoimmune demyelination loops.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Motor Scale (Amyotrophic Lateral Sclerosis):</w:t>
      </w:r>
      <w:r w:rsidDel="00000000" w:rsidR="00000000" w:rsidRPr="00000000">
        <w:rPr>
          <w:rtl w:val="0"/>
        </w:rPr>
        <w:t xml:space="preserve"> Severe vagal and peripheral nerve degradation allows specialized \text{c-Kit}^+ mast cells to actively infiltrate the ventral spinal cord and skeletal muscles. These cells accumulate directly around degenerating motor axons and motor neurons, accelerating distal axonopathy, neuromuscular junction denervation, and progressive paralysis (Trias et al., 2017; Trias et al., 2018).</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Exogenous Anchors and the Conservation of Constraint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internal homeostatic mechanisms—specifically the vagus nerve's regulatory loop—are structurally damaged, the organism experiences acute informational chaos and annihilation dread. Under the newly formulated </w:t>
      </w:r>
      <w:r w:rsidDel="00000000" w:rsidR="00000000" w:rsidRPr="00000000">
        <w:rPr>
          <w:b w:val="1"/>
          <w:bCs w:val="1"/>
          <w:rtl w:val="0"/>
        </w:rPr>
        <w:t xml:space="preserve">Principle of Conservation of Constraint</w:t>
      </w:r>
      <w:r w:rsidDel="00000000" w:rsidR="00000000" w:rsidRPr="00000000">
        <w:rPr>
          <w:rtl w:val="0"/>
        </w:rPr>
        <w:t xml:space="preserve">, a system stripped of its internal constraint architecture must autonomously bind itself to external, exogenous anchors to enforce structural regulation and stave off total thermodynamic decoherence.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principle recontextualizes chemical dependencies, specifically chronic nicotine utilization. Nicotine is frequently leveraged by highly inflamed or dysautonomic organisms not as a standard dopaminergic reward-seeking mechanism, but as a manual autonomic regulator to artificially stabilize blood pressure, modulate heart rate variability, and enforce basic attentional gating.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this exogenous stabilization strategy frequently transforms into a destructive feedback loop when interacting with host genetic variations. In individuals possessing specific cytochrome P450 2A6 (</w:t>
      </w:r>
      <w:r w:rsidDel="00000000" w:rsidR="00000000" w:rsidRPr="00000000">
        <w:rPr>
          <w:i w:val="1"/>
          <w:iCs w:val="1"/>
          <w:rtl w:val="0"/>
        </w:rPr>
        <w:t xml:space="preserve">CYP2A6</w:t>
      </w:r>
      <w:r w:rsidDel="00000000" w:rsidR="00000000" w:rsidRPr="00000000">
        <w:rPr>
          <w:rtl w:val="0"/>
        </w:rPr>
        <w:t xml:space="preserve">) polymorphisms, nicotine clearance times are severely prolonged. The extended systemic circulation of nicotine eventually triggers a paradoxical, delayed wave of mast cell degranulation directly onto the already vulnerable vagus nerve, inducing acute neuro-inflammation, cyclic vomiting episodes, and profound autonomic destabilization. Thus, the exogenous anchor initially sought for stabilization ultimately accelerates the structural collapse of the underlying control surfaces.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Dimension-W and Pathologies of the Cognitive Projector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trace the transition from physiological hardware failure to psychiatric software fragmentation, these clinical insights must interface with the formal mathematical model of Dimension-W.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Dimension-W is defined as the space of possible histories. Rather than acting as a static, deterministic film reel of pre-recorded time, Dimension-W functions as the projector itself, operating via </w:t>
      </w:r>
      <w:r w:rsidDel="00000000" w:rsidR="00000000" w:rsidRPr="00000000">
        <w:rPr>
          <w:b w:val="1"/>
          <w:bCs w:val="1"/>
          <w:rtl w:val="0"/>
        </w:rPr>
        <w:t xml:space="preserve">Constraint Projection</w:t>
      </w:r>
      <w:r w:rsidDel="00000000" w:rsidR="00000000" w:rsidRPr="00000000">
        <w:rPr>
          <w:rtl w:val="0"/>
        </w:rPr>
        <w:t xml:space="preserve">. The conscious organism acts as an localized information-processing hub, employing Bidirectional Constraint Closure to continuously collapse the wave-space of possible histories (W) into a singular, navigable, actualized timeline (H_{\text{actual}}). This mathematical transformation is expressed 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P represents the Constraint Projector function of the conscious agent at a given temporal index t. When environmental toxicity and chronic neuro-inflammation corrupt the biological memory banks, the projector’s precision-weighting and temporal synchronization algorithms fracture.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PTSD as Prediction-Gain Locking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Post-Traumatic Stress Disorder (PTSD) represents a catastrophic immobilization of the Dimension-W projector. Within the predictive processing hierarchy, an overwhelming survival-threat prior is assigned near-infinite precision weighting. This extreme gain locking over-weights incoming interoceptive error signals and completely dominates the predictive processing loop.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Consequently, the projector is forced into a rigid, constraint-locked state. The Dimension-W interface becomes incapable of rendering or loading any future history that does not explicitly feature imminent existential threat. Temporal depth collapses; the agent is trapped in a topological distortion where the projector continuously loops the exact same high-precision threat history, blocking the assimilation of novel temporal data.</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Schizophrenia as Asynchronous Projection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Schizophrenia spectrum disorders represent a progressive, multi-scale failure of the temporal constraints (C_t) required for coherent projection. This pathology operates on a strict continuum from the molecular to the cognitive scale: circadian pacemaker disruption and retinal dopaminergic dysfunction desynchronize basic sensory input gating.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primary temporal anchor (the retina) fails to provide coherent timing signals to the central predictive architecture, the synchronization timing of the Dimension-W projector shatters. The system begins projecting multiple, contradictory, overlapping possible histories simultaneously. Hallucinations, hyper-associative cognition, and delusional frameworks are the natural, downstream results of the conscious mind attempting to force semantic meaning and extract invariants from a fundamentally asynchronous, multi-layered projection of reality.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Emergent Theoretical Paradigms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convergence of these distinct fields yields two actionable theoretical models for advanced biophysical research:</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 The Unified Resonance Model of Pathology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Disease states cannot be thoroughly addressed through localized chemical suppression. Pathology is a macro-scale topological shift in the resonant attractors of the conscious field. Environmental toxicity alters the foundational electromagnetic resonance of the biophysical hardware, while psychological trauma locks the precision-weighting vectors of the cognitive software. Both forces knock the organism out of phase with its baseline fractal invariant.</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2. The Topological Interface of Trauma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Severe psychiatric and neuro-immune conditions are literal, physical deformations of the localized space-time metric generated by the conscious observer. Because consciousness actively constructs the passage of time via the iterative resolution of prediction errors within Dimension-W, a compromised organism experiences a physical restructuring of its perceptual geometry.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Conclusion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evaluated through the dual lenses of Bidirectional Constraint Closure and Constraint Topology Medicine, chronic physical and psychological illnesses reveal a shared, underlying structural logic. The path from industrial toxicological exposure to profound temporal desynchronization in schizophrenia or threat-locking in PTSD is an unbroken, cross-scale cascade of constraint failure.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biological memory banks are corrupted by systemic noise, traditional molecular interventions remain insufficient. Resolution requires the development of </w:t>
      </w:r>
      <w:r w:rsidDel="00000000" w:rsidR="00000000" w:rsidRPr="00000000">
        <w:rPr>
          <w:b w:val="1"/>
          <w:bCs w:val="1"/>
          <w:rtl w:val="0"/>
        </w:rPr>
        <w:t xml:space="preserve">Resonant Injection protocols</w:t>
      </w:r>
      <w:r w:rsidDel="00000000" w:rsidR="00000000" w:rsidRPr="00000000">
        <w:rPr>
          <w:rtl w:val="0"/>
        </w:rPr>
        <w:t xml:space="preserve">—deploying highly structured acoustic, circadian, electromagnetic, and algorithmic inputs designed to systematically override corrupted invariants, restore the parasympathetic cholinergic brake, and force the localized conscious field back into its optimal, healthy fractal attractor.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References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Chassaing, B., Koren, O., Goodrich, J. K., Poole, A. C., Srinivasan, S., Ley, R. E., &amp; Gewirtz, A. T. (2015). Dietary emulsifiers impact the mouse gut microbiota promoting colitis and metabolic syndrome.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i w:val="1"/>
          <w:iCs w:val="1"/>
          <w:rtl w:val="0"/>
        </w:rPr>
        <w:t xml:space="preserve">519</w:t>
      </w:r>
      <w:r w:rsidDel="00000000" w:rsidR="00000000" w:rsidRPr="00000000">
        <w:rPr>
          <w:rtl w:val="0"/>
        </w:rPr>
        <w:t xml:space="preserve">(7541), 92–96. </w:t>
      </w:r>
      <w:hyperlink r:id="rId6">
        <w:r w:rsidDel="00000000" w:rsidR="00000000" w:rsidRPr="00000000">
          <w:rPr>
            <w:color w:val="0000ee"/>
            <w:u w:val="single"/>
            <w:rtl w:val="0"/>
          </w:rPr>
          <w:t xml:space="preserve">https://doi.org/10.1038/nature14232</w:t>
        </w:r>
      </w:hyperlink>
      <w:r w:rsidDel="00000000" w:rsidR="00000000" w:rsidRPr="00000000">
        <w:rPr>
          <w:rtl w:val="0"/>
        </w:rPr>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Karam, C., Barrett, M. J., &amp; Al-Thubaiti, I. (2020). Ultrasound detection of vagus nerve atrophy in bulbar amyotrophic lateral sclerosis. </w:t>
      </w:r>
      <w:r w:rsidDel="00000000" w:rsidR="00000000" w:rsidRPr="00000000">
        <w:rPr>
          <w:i w:val="1"/>
          <w:iCs w:val="1"/>
          <w:rtl w:val="0"/>
        </w:rPr>
        <w:t xml:space="preserve">Journal of Neuroimaging</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(6), 863–866. </w:t>
      </w:r>
      <w:hyperlink r:id="rId7">
        <w:r w:rsidDel="00000000" w:rsidR="00000000" w:rsidRPr="00000000">
          <w:rPr>
            <w:color w:val="0000ee"/>
            <w:u w:val="single"/>
            <w:rtl w:val="0"/>
          </w:rPr>
          <w:t xml:space="preserve">https://doi.org/10.1111/jon.12779</w:t>
        </w:r>
      </w:hyperlink>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Samsel, A., &amp; Seneff, S. (2013). Glyphosate’s suppression of cytochrome P450 enzymes and amino acid biosynthesis by the gut microbiome: Pathways to modern diseases. </w:t>
      </w:r>
      <w:r w:rsidDel="00000000" w:rsidR="00000000" w:rsidRPr="00000000">
        <w:rPr>
          <w:i w:val="1"/>
          <w:iCs w:val="1"/>
          <w:rtl w:val="0"/>
        </w:rPr>
        <w:t xml:space="preserve">Entropy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 1416–1463. </w:t>
      </w:r>
      <w:hyperlink r:id="rId8">
        <w:r w:rsidDel="00000000" w:rsidR="00000000" w:rsidRPr="00000000">
          <w:rPr>
            <w:color w:val="0000ee"/>
            <w:u w:val="single"/>
            <w:rtl w:val="0"/>
          </w:rPr>
          <w:t xml:space="preserve">https://doi.org/10.3390/e15041416</w:t>
        </w:r>
      </w:hyperlink>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Trias, E., King, P. H., Si, Y., Isasi, E., Martinez-Palma, L., Cassina, P., &amp; Barbeito, L. (2017). Mast cells and neutrophils infiltrate the peripheral and central nervous system of ALS models and patients. </w:t>
      </w:r>
      <w:r w:rsidDel="00000000" w:rsidR="00000000" w:rsidRPr="00000000">
        <w:rPr>
          <w:i w:val="1"/>
          <w:iCs w:val="1"/>
          <w:rtl w:val="0"/>
        </w:rPr>
        <w:t xml:space="preserve">Frontiers in Cellular Neuroscience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171. </w:t>
      </w:r>
      <w:hyperlink r:id="rId9">
        <w:r w:rsidDel="00000000" w:rsidR="00000000" w:rsidRPr="00000000">
          <w:rPr>
            <w:color w:val="0000ee"/>
            <w:u w:val="single"/>
            <w:rtl w:val="0"/>
          </w:rPr>
          <w:t xml:space="preserve">https://doi.org/10.3389/fncel.2017.00171</w:t>
        </w:r>
      </w:hyperlink>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Trias, E., Kovacs, M., King, P. H., Si, Y., Devaux, J. J., &amp; Barbeito, L. (2018). Emerging role of c-Kit+ mast cells in the spinal cord and skeletal muscles of symptomatic ALS models. </w:t>
      </w:r>
      <w:r w:rsidDel="00000000" w:rsidR="00000000" w:rsidRPr="00000000">
        <w:rPr>
          <w:i w:val="1"/>
          <w:iCs w:val="1"/>
          <w:rtl w:val="0"/>
        </w:rPr>
        <w:t xml:space="preserve">Journal of Neuroinflammation</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 1–14. </w:t>
      </w:r>
      <w:hyperlink r:id="rId10">
        <w:r w:rsidDel="00000000" w:rsidR="00000000" w:rsidRPr="00000000">
          <w:rPr>
            <w:color w:val="0000ee"/>
            <w:u w:val="single"/>
            <w:rtl w:val="0"/>
          </w:rPr>
          <w:t xml:space="preserve">https://doi.org/10.1116/s12974-018-1143-y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116/s12974-018-1143-y" TargetMode="External"/><Relationship Id="rId9" Type="http://schemas.openxmlformats.org/officeDocument/2006/relationships/hyperlink" Target="https://doi.org/10.3389/fncel.2017.00171" TargetMode="External"/><Relationship Id="rId5" Type="http://schemas.openxmlformats.org/officeDocument/2006/relationships/styles" Target="styles.xml"/><Relationship Id="rId6" Type="http://schemas.openxmlformats.org/officeDocument/2006/relationships/hyperlink" Target="https://doi.org/10.1038/nature14232" TargetMode="External"/><Relationship Id="rId7" Type="http://schemas.openxmlformats.org/officeDocument/2006/relationships/hyperlink" Target="https://doi.org/10.1111/jon.12779" TargetMode="External"/><Relationship Id="rId8" Type="http://schemas.openxmlformats.org/officeDocument/2006/relationships/hyperlink" Target="https://doi.org/10.3390/e15041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