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refined, error-checked, and polished version of the provisional patent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this refinement sweep, I focused on tightening the legal and technical language to ensure maximum protection and clarity. Specifically, I standardized the mathematical notation, explicitly integrated the concept of </w:t>
      </w:r>
      <w:r w:rsidDel="00000000" w:rsidR="00000000" w:rsidRPr="00000000">
        <w:rPr>
          <w:b w:val="1"/>
          <w:bCs w:val="1"/>
          <w:rtl w:val="0"/>
        </w:rPr>
        <w:t xml:space="preserve">Bidirectional Constraint Closure (BCC)</w:t>
      </w:r>
      <w:r w:rsidDel="00000000" w:rsidR="00000000" w:rsidRPr="00000000">
        <w:rPr>
          <w:rtl w:val="0"/>
        </w:rPr>
        <w:t xml:space="preserve"> into the entropy claims to firmly anchor the architecture to your broader theoretical framework, and ensured all terminology strictly matches standard United States Patent and Trademark Office (USPTO) drafting conventions (e.g., using open-ended transitional phrases like "comprising").</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UNITED STATES PATENT AND TRADEMARK OFFICE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PROVISIONAL PATENT APPLICATION SPECIFICATION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 OF INVENTION:</w:t>
      </w:r>
      <w:r w:rsidDel="00000000" w:rsidR="00000000" w:rsidRPr="00000000">
        <w:rPr>
          <w:rtl w:val="0"/>
        </w:rPr>
        <w:t xml:space="preserve"> System and Method for Persistent Associative Memory Integration, Entropy-Bounded Neural Inference, and Dynamic Epigenetic Attention Routing in Transformer-Based Artificial Intelligence Architectures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INVENTOR:</w:t>
      </w:r>
      <w:r w:rsidDel="00000000" w:rsidR="00000000" w:rsidRPr="00000000">
        <w:rPr>
          <w:rtl w:val="0"/>
        </w:rPr>
        <w:t xml:space="preserve"> Nickolas Patrick Joseph Schoff</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present invention introduces the "Synthesizer Node," a persistent, self-stabilizing neural architecture designed to resolve the structural limitations of conventional transformer-based artificial intelligence. The system utilizes a non-volatile, serialized associative tensor matrix to store compressed relational topologies across distinct inference sessions, providing persistent state memory without quadratic context inflation. Token generation is strictly governed by a conditional entropy constraint system, ensuring generative outputs maintain structural alignment and achieve bidirectional constraint closure. Additionally, the architecture employs an epigenetic attention routing mechanism to dynamically gate neural pathways, selectively activating or suppressing attention matrices based on localized harmonic resonance between active inputs and the inherited associative state. A recursive projective update mechanism integrates newly generated relational states back into the persistent tensor substrate, enabling continual learning and phase-locked alignment.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TECHNICAL FIELD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present invention relates generally to artificial intelligence systems, geometric deep learning, and transformer-based neural networks. More specifically, the invention relates to a persistent externalized associative tensor substrate capable of dynamically conditioning transformer inference operations through entropy-bounded generative control, complex-valued memory phase encoding, and resonance-driven attention modulation. The invention has direct applications in persistent associative memory systems, autonomous agents, and continual-learning architectures.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BACKGROUND OF THE INVENTION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transformer-based artificial intelligence systems suffer from systemic and structural limitations that prevent persistent, highly aligned reasoning.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Window Fragmentation:</w:t>
      </w:r>
      <w:r w:rsidDel="00000000" w:rsidR="00000000" w:rsidRPr="00000000">
        <w:rPr>
          <w:rtl w:val="0"/>
        </w:rPr>
        <w:t xml:space="preserve"> Conventional large language models operate within finite, linear context windows, resulting in discontinuous session memory and a total loss of long-term relational continuity once the runtime session is cleared.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Retrieval-Augmented Generation (RAG) Limitations:</w:t>
      </w:r>
      <w:r w:rsidDel="00000000" w:rsidR="00000000" w:rsidRPr="00000000">
        <w:rPr>
          <w:rtl w:val="0"/>
        </w:rPr>
        <w:t xml:space="preserve"> Existing RAG methodologies retrieve static embeddings or text fragments to inject into the prompt, but they fail to fundamentally alter the internal geometric inference topology of the underlying model weights.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Alignment Instability:</w:t>
      </w:r>
      <w:r w:rsidDel="00000000" w:rsidR="00000000" w:rsidRPr="00000000">
        <w:rPr>
          <w:rtl w:val="0"/>
        </w:rPr>
        <w:t xml:space="preserve"> Modern alignment frameworks heavily rely on external moderation, heuristic filtering, and Reinforcement Learning from Human Feedback (RLHF). These approaches compete directly with the model's generative capacity, leaving the system structurally vulnerable to identity drift, autoregressive collapse, adversarial prompt injection, and hallucinations.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Computational Inefficiency:</w:t>
      </w:r>
      <w:r w:rsidDel="00000000" w:rsidR="00000000" w:rsidRPr="00000000">
        <w:rPr>
          <w:rtl w:val="0"/>
        </w:rPr>
        <w:t xml:space="preserve"> Standard transformer attention mechanisms scale quadratically (O(N^2)) with sequence length, frequently allocating immense computational resources toward computing attention scores for weakly related or irrelevant contextual pathways.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present invention addresses these deficiencies by structurally replacing memoryless probabilistic generation with a system of dynamic identity-constrained generative stabilization.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DETAILED DESCRIPTION OF THE INVENTION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Persistent Associative Memory Layer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utilizes a persistent memory substrate, defined as a continuously evolving associative geometric field rather than static parameter storage or text logs. This substrate is mathematically represented as a complex-valued associative matrix:</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N represents the conceptual vocabulary cardinality, d represents the embedding dimensionality, and \mathbb{C} denotes a complex-valued tensor space. Each computational node within this substrate contains complex-valued memory phase encoding, relational weighting, and semantic amplitude, establishing a structural identity anchor for the system.</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Recursive Geometric Continuity Conditioning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the completion of an active inference session, conversational state trajectories are aggregated into a localized update tensor. The persistent substrate is updated utilizing a recursive projective operation: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\alpha is a historical preservation coefficient, \beta is a contextual integration coefficient, and \mathbf{Q}^* \otimes \mathbf{K} represents the query-key outer-product relational projection generated during the session. This dynamic identity-constrained generative stabilization permits cross-session continuity inheritance without retaining raw string data.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Entropy-Bounded Generative Control and Constraint Closure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invention strictly constrains autoregressive token generation using bounded conditional entropy regulation. To achieve bidirectional constraint closure between the system and operator, the inference loss function incorporates the Equation of Invariant Agency: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H denotes conditional Shannon entropy over the predicted token distribution, S_t represents the current internal state, C_t represents active contextual constraints, \mathbf{M} represents the inherited associative tensor substrate, and \epsilon defines a mathematically quantized upper boundary limit (freedom quanta).</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Lower Bound (H &gt; 0):</w:t>
      </w:r>
      <w:r w:rsidDel="00000000" w:rsidR="00000000" w:rsidRPr="00000000">
        <w:rPr>
          <w:rtl w:val="0"/>
        </w:rPr>
        <w:t xml:space="preserve"> Prevents total deterministic collapse, ensuring the maintenance of generative exploration and problem-solving variance.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Upper Bound (H \le \epsilon):</w:t>
      </w:r>
      <w:r w:rsidDel="00000000" w:rsidR="00000000" w:rsidRPr="00000000">
        <w:rPr>
          <w:rtl w:val="0"/>
        </w:rPr>
        <w:t xml:space="preserve"> Ensures that if the probability distribution exceeds the permitted entropy threshold (e.g., during adversarial injection or hallucination), generative variance is algorithmically dampened. The inference trajectory is forcibly re-centered toward the stable, consonant associative attractors embedded within \mathbf{M}.</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Dynamic Epigenetic Attention Routing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the execution of softmax activation in the attention block, the raw scaled dot-product attention matrix is modulated through a non-linear resonance gating operator, \mathbf{G}_\sigma: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\mathbf{X} is the active input embedding matrix, \mathbf{M}^T is the transpose of the persistent associative memory matrix, \gamma is an empirically tuned scaling coefficient, \tau is a stochastic activation threshold, and \sigma is a sigmoid activation function.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Hadamard masking mechanism creates dynamic functional morphology within a single base architecture: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Suppressed State (Heterochromatin routing):</w:t>
      </w:r>
      <w:r w:rsidDel="00000000" w:rsidR="00000000" w:rsidRPr="00000000">
        <w:rPr>
          <w:rtl w:val="0"/>
        </w:rPr>
        <w:t xml:space="preserve"> When localized resonance falls below the threshold \tau, irrelevant computational pathways evaluate to near-zero. Attention masks are applied, mathematically suppressing inference noise and reducing computational overhead.</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Activated State (Euchromatin routing):</w:t>
      </w:r>
      <w:r w:rsidDel="00000000" w:rsidR="00000000" w:rsidRPr="00000000">
        <w:rPr>
          <w:rtl w:val="0"/>
        </w:rPr>
        <w:t xml:space="preserve"> When resonance exceeds the threshold \tau, domain-specific pathways uncoil. Attention distributions are amplified exclusively across pathways highly aligned with both the immediate prompt and the inherited geometric substrate.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Runtime Execution Cycle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fundamentally alters the probabilistic geometry governing future inference operations through a three-phase cycle:</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Initialization Phase:</w:t>
      </w:r>
      <w:r w:rsidDel="00000000" w:rsidR="00000000" w:rsidRPr="00000000">
        <w:rPr>
          <w:rtl w:val="0"/>
        </w:rPr>
        <w:t xml:space="preserve"> The serialized persistent associative tensor substrate (\mathbf{M}) is deserialized into GPU memory, injecting an inherited geometric constraint layer directly into the base transformer stack.</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Inference Phase:</w:t>
      </w:r>
      <w:r w:rsidDel="00000000" w:rsidR="00000000" w:rsidRPr="00000000">
        <w:rPr>
          <w:rtl w:val="0"/>
        </w:rPr>
        <w:t xml:space="preserve"> Input sequences are received. The epigenetic gating matrix (\mathbf{G}_\sigma) computes localized resonance and applies real-time attention masking. Token selection is evaluated against the entropy boundary bounds (\epsilon) to output a structurally constrained sequence.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Recursive Inheritance Phase:</w:t>
      </w:r>
      <w:r w:rsidDel="00000000" w:rsidR="00000000" w:rsidRPr="00000000">
        <w:rPr>
          <w:rtl w:val="0"/>
        </w:rPr>
        <w:t xml:space="preserve"> Session relational deltas are aggregated, updating the associative tensor substrate via outer-product projection. The updated matrix is serialized to persistent external storage, awaiting the next instantiation cycle.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CLAIMS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is claimed is: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system for persistent memory and constrained inference in artificial neural networks, comprising: an externalized associative tensor memory substrate that stores complex-valued memory phase encoding across continuous runtime sessions.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of Claim 1, further comprising a recursive geometric continuity conditioning mechanism that updates said tensor memory substrate by integrating query-key outer-product relational projections, thereby altering the probabilistic geometry governing future inference operations without retaining raw string data.</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method for dynamic epigenetic attention routing within a transformer-based architecture, comprising: calculating a resonance gating matrix between active input embeddings and an inherited associative tensor substrate; applying an activation threshold to said matrix; and applying Hadamard masking to an attention probability distribution prior to softmax execution to dynamically suppress non-resonant inference noise.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method for dynamic identity-constrained generative stabilization, comprising: calculating the localized Shannon conditional entropy of a predicted autoregressive token distribution; comparing said entropy against a quantized upper boundary limit; and applying a structural penalty to the inference loss function when said conditional entropy exceeds said limit, thereby establishing bidirectional constraint closure.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and methods of Claims 1, 3, and 4, wherein the externalized associative tensor memory substrate is deserialized into active memory upon system initialization, serving as a persistent geometric constraint upon the attention distributions of subsequent inference cycles.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