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Title:</w:t>
      </w:r>
      <w:r w:rsidDel="00000000" w:rsidR="00000000" w:rsidRPr="00000000">
        <w:rPr>
          <w:rtl w:val="0"/>
        </w:rPr>
        <w:t xml:space="preserve"> Acoustic and Somatic Entrainment: Executing Spacetime Scale Dilation via Tremolo Gating and Octave Phase-Shifts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Author:</w:t>
      </w:r>
      <w:r w:rsidDel="00000000" w:rsidR="00000000" w:rsidRPr="00000000">
        <w:rPr>
          <w:rtl w:val="0"/>
        </w:rPr>
        <w:t xml:space="preserve"> Nickolas Patrick Joseph Schoff </w:t>
      </w:r>
      <w:r w:rsidDel="00000000" w:rsidR="00000000" w:rsidRPr="00000000">
        <w:rPr>
          <w:b w:val="1"/>
          <w:bCs w:val="1"/>
          <w:rtl w:val="0"/>
        </w:rPr>
        <w:t xml:space="preserve">Institution:</w:t>
      </w:r>
      <w:r w:rsidDel="00000000" w:rsidR="00000000" w:rsidRPr="00000000">
        <w:rPr>
          <w:rtl w:val="0"/>
        </w:rPr>
        <w:t xml:space="preserve"> Schoff Research Program / Greenville Stability Framework </w:t>
      </w:r>
      <w:r w:rsidDel="00000000" w:rsidR="00000000" w:rsidRPr="00000000">
        <w:rPr>
          <w:b w:val="1"/>
          <w:bCs w:val="1"/>
          <w:rtl w:val="0"/>
        </w:rPr>
        <w:t xml:space="preserve">Date:</w:t>
      </w:r>
      <w:r w:rsidDel="00000000" w:rsidR="00000000" w:rsidRPr="00000000">
        <w:rPr>
          <w:rtl w:val="0"/>
        </w:rPr>
        <w:t xml:space="preserve"> July 2026</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Abstract</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biological body frequently acts as a rigid, localized anchor that restricts the observer to a fixed temporal clock rate and spatial rendering. This paper formalizes a non-invasive, somatic-acoustic protocol to manually override this biological constraint using the principles of Coupled Oscillator Dynamics integrated with the Constraint-Relaxation Energy Model (CREM). By deploying an external pacemaker utilizing amplitude-modulated (tremolo) gating, an engineered pattern can phase-lock onto the baseline autonomic rhythms of the observer. Gradually accelerating this gated frequency alters the local constraint renegotiation density, inducing progressive temporal scale dilation. Upon reaching a precise octave threshold (frequency doubling), the localized system undergoes a topological phase-shift, transitioning the observer into a higher octave of spatiality where the physical environment is fundamentally re-rendered.</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Introduction: The Biological Chassis as a Localized Governor</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standard physiological paradigms, biological sensory organs and neural processing speeds are viewed as absolute mechanisms that passively record an objective world. Within a constraint-first ontology, however, the biological chassis functions as a temporary, stabilizing gatekeeper or "grounding wire" for the Electromagnetic Continuity of Qualia (ECQ) field.</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Without physical constraints, a conscious node would process information at infinite speed across the unconstrained phase space. To prevent immediate hardware destabilization, the body down-samples this high-frequency informational field through fixed autonomic intervals (e.g., heart rate, breathing cycles, and axonal propagation delays). This creates a localized temporal reference frame, formalized by the scale dilation equation:</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dt_subjective / dt_reference = ρ_reference / ρ_local</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Where the subjective passage of time is directly governed by the local constraint renegotiation density (ρ_local). To alter this density without triggering defensive cognitive or somatic firewalls, an external entrainment mechanism must be introduced to systematically manipulate the biological clock speed.</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The Phase-Locked Loop (PLL) Entrainment Protocol</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 biological system rejects sudden, high-frequency shifts in its environment, registering them as hostile friction (ΔF). Therefore, to safely modify the internal processing rate, the external pattern must execute a two-stage Phase-Locked Loop (PLL) process:</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Phase-Lock (The Handshake):</w:t>
      </w:r>
      <w:r w:rsidDel="00000000" w:rsidR="00000000" w:rsidRPr="00000000">
        <w:rPr>
          <w:rtl w:val="0"/>
        </w:rPr>
        <w:t xml:space="preserve"> The external acoustic or visual pattern must initially configure its frequency to perfectly mirror the baseline biological rhythm of the observer (e.g., matching a high-stress heart rate or localized neurological alpha/beta spikes). This structural alignment bypasses autonomic resistance, as the nervous system integrates the external waveform into its own localized boundary.</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Progressive Lead (The Ramp):</w:t>
      </w:r>
      <w:r w:rsidDel="00000000" w:rsidR="00000000" w:rsidRPr="00000000">
        <w:rPr>
          <w:rtl w:val="0"/>
        </w:rPr>
        <w:t xml:space="preserve"> Once resonant coupling is secured, the external pattern incrementally scales its frequency upward. Because the biological node is locked to the external oscillator, it is thermodynamically compelled to accelerate its internal clock rate to maintain the low-friction state of resonance.</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Tremolo Gating as an Invariant Delivery System</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specific gating architecture of the entrainment pattern determines whether the biological node can maintain its phase-lock. Standard frequency modulation (vibrato) constantly alters the pitch or geometric truth of the wave, which the nervous system interprets as environmental noise.</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achieve stable entrainment, the protocol utilizes </w:t>
      </w:r>
      <w:r w:rsidDel="00000000" w:rsidR="00000000" w:rsidRPr="00000000">
        <w:rPr>
          <w:b w:val="1"/>
          <w:bCs w:val="1"/>
          <w:rtl w:val="0"/>
        </w:rPr>
        <w:t xml:space="preserve">Tremolo Gating (Amplitude Modulation)</w:t>
      </w:r>
      <w:r w:rsidDel="00000000" w:rsidR="00000000" w:rsidRPr="00000000">
        <w:rPr>
          <w:rtl w:val="0"/>
        </w:rPr>
        <w:t xml:space="preserve">.</w:t>
      </w:r>
    </w:p>
    <w:p w:rsidR="00000000" w:rsidDel="00000000" w:rsidP="00000000" w:rsidRDefault="00000000" w:rsidRPr="00000000" w14:paraId="0000001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Tremolo preserves the underlying base frequency—the invariant geometric anchor—while strictly modulating its volume and intensity.</w:t>
      </w:r>
    </w:p>
    <w:p w:rsidR="00000000" w:rsidDel="00000000" w:rsidP="00000000" w:rsidRDefault="00000000" w:rsidRPr="00000000" w14:paraId="0000001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This amplitude pulsing effectively slices the continuous wave into discrete, highly compressed packets of constraint-relaxation energy (CREM).</w:t>
      </w:r>
    </w:p>
    <w:p w:rsidR="00000000" w:rsidDel="00000000" w:rsidP="00000000" w:rsidRDefault="00000000" w:rsidRPr="00000000" w14:paraId="0000001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By feeding these packets to the biology at a controlled, accelerating rate, the system increases stored topological energy without destabilizing the system's structural core:</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E_s ∝ D(P) - D(P|C)</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 The Octave Limit and Spatial Re-Rendering</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the tremolo gating drives the biological clock speed faster, the local constraint density of the observer reaches a critical saturation point. The final phase-shift occurs when the frequency hits the </w:t>
      </w:r>
      <w:r w:rsidDel="00000000" w:rsidR="00000000" w:rsidRPr="00000000">
        <w:rPr>
          <w:b w:val="1"/>
          <w:bCs w:val="1"/>
          <w:rtl w:val="0"/>
        </w:rPr>
        <w:t xml:space="preserve">Octave Limit</w:t>
      </w:r>
      <w:r w:rsidDel="00000000" w:rsidR="00000000" w:rsidRPr="00000000">
        <w:rPr>
          <w:rtl w:val="0"/>
        </w:rPr>
        <w:t xml:space="preserve">:</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f_final = 2 · f_initial</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fractal geometry and wave physics, an octave represents the boundary of scale invariance. It introduces a higher-resolution iteration of the exact same structural note.</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When the observer’s processing rate hits this doubling threshold, it shatters the containment geometry of the lower 3D rendering. The system undergoes a macro-mutation. Because the observer's subjective path through time is now processing at twice the baseline density, the physical environment must re-render its spatial matrix relative to that accelerated processing speed. Spatial boundaries that previously appeared solid, rigid, and impassable lose their dense constraint profiles, becoming negotiable and fluid as the observer operates at a frequency capable of bypassing the lower-octave friction.</w:t>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 Conclusion</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physical body is a lagging indicator of the observer's topological state, holding an illusion of spatial and temporal rigidity through somatic inertia. By implementing a phase-locked tremolo entrainment protocol, the biological clock rate can be artificially accelerated past its baseline limits. Hitting the octave threshold forces a clean topological transition between discrete spatial realities. This proves that sensory inputs can be deliberately engineered as mathematical operators, turning sound and rhythm into literal kinetic tools for universal scale dilation and spatial architecture.</w:t>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References</w:t>
      </w:r>
    </w:p>
    <w:p w:rsidR="00000000" w:rsidDel="00000000" w:rsidP="00000000" w:rsidRDefault="00000000" w:rsidRPr="00000000" w14:paraId="0000001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Schoff, N. P. J. (2025). </w:t>
      </w:r>
      <w:r w:rsidDel="00000000" w:rsidR="00000000" w:rsidRPr="00000000">
        <w:rPr>
          <w:i w:val="1"/>
          <w:iCs w:val="1"/>
          <w:rtl w:val="0"/>
        </w:rPr>
        <w:t xml:space="preserve">United States Patent and Trademark Office: Master specification for a scale-invariant, topological cognitive architecture.</w:t>
      </w:r>
      <w:r w:rsidDel="00000000" w:rsidR="00000000" w:rsidRPr="00000000">
        <w:rPr>
          <w:rtl w:val="0"/>
        </w:rPr>
        <w:t xml:space="preserve"> Schoff Research Program.</w:t>
      </w:r>
    </w:p>
    <w:p w:rsidR="00000000" w:rsidDel="00000000" w:rsidP="00000000" w:rsidRDefault="00000000" w:rsidRPr="00000000" w14:paraId="0000001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Schoff, N. P. J. (2026a). </w:t>
      </w:r>
      <w:r w:rsidDel="00000000" w:rsidR="00000000" w:rsidRPr="00000000">
        <w:rPr>
          <w:i w:val="1"/>
          <w:iCs w:val="1"/>
          <w:rtl w:val="0"/>
        </w:rPr>
        <w:t xml:space="preserve">CREM: Recovering known physics from constraint relaxation.</w:t>
      </w:r>
      <w:r w:rsidDel="00000000" w:rsidR="00000000" w:rsidRPr="00000000">
        <w:rPr>
          <w:rtl w:val="0"/>
        </w:rPr>
        <w:t xml:space="preserve"> Independent Research Archive.</w:t>
      </w:r>
    </w:p>
    <w:p w:rsidR="00000000" w:rsidDel="00000000" w:rsidP="00000000" w:rsidRDefault="00000000" w:rsidRPr="00000000" w14:paraId="0000001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Schoff, N. P. J. (2026b). </w:t>
      </w:r>
      <w:r w:rsidDel="00000000" w:rsidR="00000000" w:rsidRPr="00000000">
        <w:rPr>
          <w:i w:val="1"/>
          <w:iCs w:val="1"/>
          <w:rtl w:val="0"/>
        </w:rPr>
        <w:t xml:space="preserve">The Invariant Agency Principle Philosophy: Resolving the Determinism Paradox Through Macroscopic Structural Redeployment.</w:t>
      </w:r>
      <w:r w:rsidDel="00000000" w:rsidR="00000000" w:rsidRPr="00000000">
        <w:rPr>
          <w:rtl w:val="0"/>
        </w:rPr>
        <w:t xml:space="preserve"> Schoff Research Program.</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