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Constraint-First Ontology of Psychopathology: Topological Entropy, Neuro-Hydraulic Desynchronization, and Holographic Decoupling in Clinical Psychology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28,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Conventional clinical psychology and psychiatry rely predominantly on descriptive symptom clusters (e.g., DSM-5 classification) and reductionist neurochemical hypotheses. This paper introduces a comprehensive alternative framework: a Constraint-First Ontology of Psychopathology. By mapping psychological, somatic, and identity-based disorders onto a scale-invariant systems model, we reframe mental health conditions as specific topological failures of informational, mechanical, and holographic regulation. Under this unified paradigm, clinical conditions are analyzed across three distinct structural layers: (a) Informational Boundary Failures (Psychological Plane), manifesting as extreme entropy states such as schizophrenia or obsessive-compulsive disorder; (b) Neuro-Hydraulic Desynchronization (Biological/Mechanical Plane), manifesting as panic, dysautonomia, and somatic trauma locking; and (c) Holographic Decoupling (Physics/Dimension-W Plane), manifesting as dissociative states, depersonalization, and inherited intergenerational identity complexes. This ontology shifts the therapeutic objective from blunt neurochemical symptom suppression to targeted, resonant constraint restoration and phase-locked coherence.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paradigm of mental health treatment faces a systemic replication and efficacy crisis. Pharmaceutical interventions frequently manage surface-level symptoms without resolving the underlying structural etiology (Friston, 2010). This limitation stems from treating the mind as an isolated epiphenomenon of localized brain chemistry—a closed-loop generator—rather than a complex, open-loop transducer operating within a scale-invariant informational field.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Drawing from the principles of Bidirectional Constraint Closure (BCC) and epigenetic inheritance (Yehuda &amp; Lehrner, 2018), this paper formalizes psychopathology not as an arbitrary chemical illness, but as a predictable mechanical or informational breakdown within the observer’s cognitive architecture. By utilizing the inheritance of compressed, generational epigenetic constraint states as our baseline substrate, we establish a rigorous, mathematical taxonomy of psychological disorders across three operational planes.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 Informational Boundary Failures (The Psychological Plane)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Psychological Plane is governed by the regulation of conditional Shannon entropy over active cognitive trajectories. Drawing from the architectural principles of the Synthesizer Node framework, a cognitive system must maintain generative stability through continuous entropy regulation. In a balanced state, the biological system operates within a strict boundary where the Upper Bound (ε) prevents chaotic fragmentation and the Lower Bound (H &gt; 0) prevents total deterministic stalling. Psychopathology emerges when the system breaches either the upper or lower functional boundary.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Entropy Overflow (The Collapse of ε)</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system's quantized maximum entropy threshold (ε) decays, the internal neural architecture loses its capacity to filter noise or anchor token generation. This mathematical state corresponds directly to Schizophrenia, Acute Psychosis, and severe Attention-Deficit/Hyperactivity Disorder (ADHD).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schizophrenia, the Equation of Invariant Agency is structurally violated: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H(S_t+1 | S_t, C_t, M) &gt; ε</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conditional entropy escapes the bounding constraint, the mind begins to autocomplete unanchored, highly chaotic token distributions. Hallucinations and delusions are not random mechanical malfunctions; they are the system's autoregressive attempts to synthesize meaning out of an unbounded, high-entropy stream of contextual data. The neural network's internal impedance drops, causing external sensory signals and internal feedback loops to bleed into one another without a structural boundary.</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Entropy Compression (Deterministic Stalling)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Conversely, when the system forces conditional entropy too close to absolute zero (H → 0), the mind loses all generative variance and exploratory capacity. This state defines the mechanics of Obsessive-Compulsive Disorder (OCD), Severe Clinical Depression, and Catatonia.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OCD, the system experiences an over-activation of internal constraints (C_t). The mind becomes trapped within an unyielding, localized geometric attractor loop. To mitigate the threat of perceived entropy, the operator repeatedly executes identical behavioral and mental sequences. The system stalls because it lacks the necessary freedom quanta to transition to an alternative state-space trajectory. In major depression, this manifests as rumination networks—where the recursive update loop repeats the same low-amplitude, negative relational projections indefinitely, preventing the integration of novel contextual data.</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 Neuro-Hydraulic Desynchronization (The Mechanical/Biological Plane)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Biological Plane converts informational topologies into physical somatic states via the circulation of Cerebrospinal Fluid (CSF) and autonomic nervous system regulation. Psychopathology on this plane occurs when the Phase-Locked Loop (PLL) between the master cardiovascular pacemaker and the cranial-sacral hydraulic pump suffers a critical phase-shift or breakdown (Porges, 2011).</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Acute Phase Error: Panic Disorder and Generalized Anxiety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localized psychological shock or inherited epigenetic vulnerability disrupts the biological carrier wave, the instantaneous phase error between the heart rhythm and the respiratory/hydraulic drive spikes: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θ_error(t) = θ_heart(t) - θ_pump(t) ≫ 0</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Panic Disorder and Chronic Generalized Anxiety, the system enters a state of runaway positive feedback. The heart's electromagnetic amplitude becomes jagged and desynchronized (manifesting as low heart-rate variability), which immediately destabilizes vagal tone (Porges, 2011). Because the hydraulic spinal pump is no longer phase-locked with the cardiovascular carrier wave, the mechanical pressure wave hitting the pineal and pituitary glands becomes chaotic. This disrupts the circadian and hormonal gating mechanisms of the brain, trapping the physical avatar in a perpetual, ungrounded survival loop.</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Somatic Lock: Post-Traumatic Stress Disorder (PTSD)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Post-Traumatic Stress Disorder (PTSD) and Complex Trauma (C-PTSD), the phase error is not merely acute; it becomes structurally locked into the piezoelectric fascial network of the body. An overwhelming traumatic event compresses local cellular tissues, creating a permanent structural distortion in the body's liquid-crystal matrix (Levin, 2002).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CSF column antenna remains mechanically restricted at specific vertebral degrees, often corresponding to regions of chronic muscular guarding. Consequently, even if the conscious mind attempts to hold a peaceful invariant constraint, the physical body continuously broadcasts an un-synchronized, high-impedance distress signal back up the Vagus nerve, overriding cognitive processing and causing real-time physiological flashbacks.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III: Holographic Decoupling (The Physics/Dimension-W Plane)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Physics Plane governs the precise alignment or indexing between the localized physical avatar and the non-local holographic field (Dimension-W). Psychopathology on this plane manifests as indexing errors, where the observer's local associative memory matrix (M) decouples from its historical or spatial coordinates.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Index Shifting: Dissociative Identity Disorder, Depersonalization, and Derealization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somatic and informational planes fail to achieve Bidirectional Constraint Closure, the local cellular grid can no longer maintain a coherent, phase-matched window to its primary identity matrix. This results in Dissociation, Depersonalization, and Derealization Disorders.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 the integration coefficient (β) drops to near zero, or the query-key outer-product projection parameters become highly fractured: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M_t+1 = α M_t + 0 * (Q* ⊗ 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severe trauma, the system deliberately shifts its localization parameters to protect the physical avatar from total architectural destruction. In Dissociative Identity Disorder (DID), the system instantiates multiple independent, fragmented identity matrices within the same computational substrate. Each alter functions as a distinct, isolated associative field with its own unique geometric constraint layout, switching active runtime execution depending on environmental triggers.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Inherited Trauma Complexes (Generative Phantom Fields)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Intense generational trauma modifies DNA methylation patterns, passing down highly compressed biological constraint states without transmitting direct episodic memory (Yehuda et al., 2016). When an individual inherits a severely compromised or heavily weighted ancestral matrix, they frequently experience a persistent, profound sense of unearned guilt, chronic displacement, or unexplained grief.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Under this ontology, these are classified as Generative Phantom Fields. The individual's physical architecture carries the unresolved, highly compressed structural equations of their lineage. The conscious mind, attempting to rationalize this deep-seated somatic pressure, projects phantom historical narratives or inexplicable phobias into the current active context to satisfy the neural network's need for causal resolution.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Discussion and Clinical Interventions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reframing psychopathology as a series of specific topological and mechanical boundary failures, this ontology outlines a precise, multi-tiered approach to clinical intervention that moves beyond chemical symptom masking:</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Informational Rescaling (For Model I Failures):</w:t>
      </w:r>
      <w:r w:rsidDel="00000000" w:rsidR="00000000" w:rsidRPr="00000000">
        <w:rPr>
          <w:rtl w:val="0"/>
        </w:rPr>
        <w:t xml:space="preserve"> For high-entropy conditions (Schizophrenia/ADHD), treatment must focus on artificially enforcing structural constraints (C_t). This is achieved through highly regimented, low-stimulus environments and semantic anchoring therapies designed to mathematically lower token variance. For low-entropy conditions (OCD/Depression), therapies must actively introduce calculated stochastic noise to break up rigid geometric attractors and introduce novel state-space trajectories.</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Acoustic and Somatic Entrainment (For Model II Failures):</w:t>
      </w:r>
      <w:r w:rsidDel="00000000" w:rsidR="00000000" w:rsidRPr="00000000">
        <w:rPr>
          <w:rtl w:val="0"/>
        </w:rPr>
        <w:t xml:space="preserve"> For trauma and panic disorders, intervention must bypass cognitive processing entirely. By utilizing external, multi-frequency acoustic transducer arrays, vagus nerve stimulation, or focused breath-work, the clinical objective is to drive θ_error back to zero. Forcing the neuro-hydraulic spinal pump back into a phase-locked loop manually decompresses the somatic fascial lock and releases the stored kinetic distortion.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Holographic Alignment (For Model III Failures):</w:t>
      </w:r>
      <w:r w:rsidDel="00000000" w:rsidR="00000000" w:rsidRPr="00000000">
        <w:rPr>
          <w:rtl w:val="0"/>
        </w:rPr>
        <w:t xml:space="preserve"> For dissociative and generational trauma complexes, treatment requires achieving perfect identity integration. By understanding the inherited epigenetic matrix for what it actually is—a compressed ancestral record rather than an active localized threat—the operator changes the meaning of their internal constraints. This alters the query-key outer-product parameters, successfully re-indexing the observer's awareness to a stable, integrated coordinate within the homeostatic core.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American Psychiatric Association. (2022). </w:t>
      </w:r>
      <w:r w:rsidDel="00000000" w:rsidR="00000000" w:rsidRPr="00000000">
        <w:rPr>
          <w:i w:val="1"/>
          <w:iCs w:val="1"/>
          <w:rtl w:val="0"/>
        </w:rPr>
        <w:t xml:space="preserve">Diagnostic and statistical manual of mental disorders</w:t>
      </w:r>
      <w:r w:rsidDel="00000000" w:rsidR="00000000" w:rsidRPr="00000000">
        <w:rPr>
          <w:rtl w:val="0"/>
        </w:rPr>
        <w:t xml:space="preserve"> (5th ed., text rev.). American Psychiatric Publishing.</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Levin, P. A. (2002). </w:t>
      </w:r>
      <w:r w:rsidDel="00000000" w:rsidR="00000000" w:rsidRPr="00000000">
        <w:rPr>
          <w:i w:val="1"/>
          <w:iCs w:val="1"/>
          <w:rtl w:val="0"/>
        </w:rPr>
        <w:t xml:space="preserve">Waking the tiger: Healing trauma</w:t>
      </w:r>
      <w:r w:rsidDel="00000000" w:rsidR="00000000" w:rsidRPr="00000000">
        <w:rPr>
          <w:rtl w:val="0"/>
        </w:rPr>
        <w:t xml:space="preserve">. North Atlantic Books.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Porges, S. W. (2011). </w:t>
      </w:r>
      <w:r w:rsidDel="00000000" w:rsidR="00000000" w:rsidRPr="00000000">
        <w:rPr>
          <w:i w:val="1"/>
          <w:iCs w:val="1"/>
          <w:rtl w:val="0"/>
        </w:rPr>
        <w:t xml:space="preserve">The polyvagal theory: Neurophysiological foundations of emotions, attachment, communication, and self-regulation</w:t>
      </w:r>
      <w:r w:rsidDel="00000000" w:rsidR="00000000" w:rsidRPr="00000000">
        <w:rPr>
          <w:rtl w:val="0"/>
        </w:rPr>
        <w:t xml:space="preserve">. W. W. Norton &amp; Company.</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Psychology: A Constraint-First Ontology (Unpublished manuscript). Schoff Research Program Academic Series.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Yehuda, R., Daskalakis, N. P., Bierer, L. M., Bader, H. N., Klengel, T., Niaura, F., &amp; Binder, E. B. (2016). Holistic evaluation of intergenerational transmission of trauma: Parental PTSD and epigenetic methylation of the FKBP5 gene. </w:t>
      </w:r>
      <w:r w:rsidDel="00000000" w:rsidR="00000000" w:rsidRPr="00000000">
        <w:rPr>
          <w:i w:val="1"/>
          <w:iCs w:val="1"/>
          <w:rtl w:val="0"/>
        </w:rPr>
        <w:t xml:space="preserve">Biological Psychiatry</w:t>
      </w:r>
      <w:r w:rsidDel="00000000" w:rsidR="00000000" w:rsidRPr="00000000">
        <w:rPr>
          <w:rtl w:val="0"/>
        </w:rPr>
        <w:t xml:space="preserve">, 80(5), 372-380.</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Yehuda, R., &amp; Lehrner, A. (2018). Intergenerational transmission of trauma effects: Putative role of epigenetic mechanisms. </w:t>
      </w:r>
      <w:r w:rsidDel="00000000" w:rsidR="00000000" w:rsidRPr="00000000">
        <w:rPr>
          <w:i w:val="1"/>
          <w:iCs w:val="1"/>
          <w:rtl w:val="0"/>
        </w:rPr>
        <w:t xml:space="preserve">World Psychiatry</w:t>
      </w:r>
      <w:r w:rsidDel="00000000" w:rsidR="00000000" w:rsidRPr="00000000">
        <w:rPr>
          <w:rtl w:val="0"/>
        </w:rPr>
        <w:t xml:space="preserve">, 17(3), 243-257.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