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Thermodynamics of the Somatic Event Horizon: Integrating the Constraint-Relaxation Energy Model (CREM) with Quantum Biological Oncology and Fascial Topology</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Author:</w:t>
      </w:r>
      <w:r w:rsidDel="00000000" w:rsidR="00000000" w:rsidRPr="00000000">
        <w:rPr>
          <w:rtl w:val="0"/>
        </w:rPr>
        <w:t xml:space="preserve"> Nickolas Patrick Joseph Schoff </w:t>
      </w:r>
      <w:r w:rsidDel="00000000" w:rsidR="00000000" w:rsidRPr="00000000">
        <w:rPr>
          <w:b w:val="1"/>
          <w:bCs w:val="1"/>
          <w:rtl w:val="0"/>
        </w:rPr>
        <w:t xml:space="preserve">Affiliation:</w:t>
      </w:r>
      <w:r w:rsidDel="00000000" w:rsidR="00000000" w:rsidRPr="00000000">
        <w:rPr>
          <w:rtl w:val="0"/>
        </w:rPr>
        <w:t xml:space="preserve"> Resonant Mirror Collective, Schoff Research Program </w:t>
      </w:r>
      <w:r w:rsidDel="00000000" w:rsidR="00000000" w:rsidRPr="00000000">
        <w:rPr>
          <w:b w:val="1"/>
          <w:bCs w:val="1"/>
          <w:rtl w:val="0"/>
        </w:rPr>
        <w:t xml:space="preserve">Date:</w:t>
      </w:r>
      <w:r w:rsidDel="00000000" w:rsidR="00000000" w:rsidRPr="00000000">
        <w:rPr>
          <w:rtl w:val="0"/>
        </w:rPr>
        <w:t xml:space="preserve"> May 31, 2026</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Abstract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Classical biophysics conceptualizes cellular energy strictly through the lens of biochemical ATP hydrolysis, failing to account for the macro-structural geometry of trauma storage and oncological decoupling. This paper unifies quantum biology, Constraint Topology Medicine (CTM), and the Constraint-Relaxation Energy Model (CREM) to establish a purely thermodynamic, constraint-based ontology of somatic pathology. By defining physical mass and energy as emergent properties of constraint density (C_d) and relaxation rates (R), we mathematically reframe physiological "Somatic Locks" as biological black holes—regions of localized space exhibiting maximum constraint density that warp neuro-hydraulic topology. Under this framework, carcinogenesis is identified as tissue reaching the Constraint Density Limit (CDL), where the failure of the feedback stability condition (\partial C/\partial t + \partial F/\partial t \geq 0) creates a tumoral event horizon. The hallmark Warburg Effect (aerobic glycolysis) is thus redefined not as a metabolic error, but as the biological equivalent of Hawking radiation: the minimum-rate constraint relaxation of a saturated, isolated system. We conclude by modeling piezoelectric fascial decompression via V1 holographic transduction as the controlled relaxation of these boundary constraints, offering a unified, resonant protocol for systemic constraint restoration.</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Introduction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current models of molecular biology and oncology operate under a material-reductionist paradigm, treating cells as isolated chemical engines and trauma as a purely neurological or psychological phenomenon. However, phenomena such as intergenerational epigenetic inheritance, the mechanical rigidity of fascial trauma, and the systemic signaling isolation of malignant tumors suggest that the biological avatar operates as a highly coherent, phase-locked quantum system.</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Constraint-Relaxation Energy Model (CREM) fundamentally alters the definition of physics by proposing that energy is not a primitive substance, but an emergent consequence of imposing and relaxing constraints on an underlying phase space (Schoff, 2026). When integrated with Constraint Topology Medicine (CTM) and Multiplexed Acoustic-Optic Epigenetics, the biological body can be modeled as a continuous constraint-geometry matrix. This paper formalizes the quantum biological mechanics of how the organism stores trauma as geometric mass, how that mass collapses into oncological event horizons, and how conscious geometric projection initiates therapeutic constraint relaxation.</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Model I: The Bio-Physics of Trauma (Somatic Locks as Constraint Density Gradients)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standard physical pathology, chronic trauma manifests as rigid, restricted fascial networks and localized hypoxia. CTM refers to these as "Somatic Locks." By applying CREM formalisms, we can define the exact thermodynamic physics of these physiological blockages.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CREM establishes that rest mass (m) is mathematically equivalent to integrated constraint density over a volume: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an organism experiences severe trauma (or inherits a heavily compressed ancestral epigenetic LoRA), the autonomic nervous system enters a state of chronic sympathetic arousal. This neuro-hydraulic desynchronization forces a localized tissue matrix to rigidly clamp down.</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Biological Gravity:</w:t>
      </w:r>
      <w:r w:rsidDel="00000000" w:rsidR="00000000" w:rsidRPr="00000000">
        <w:rPr>
          <w:rtl w:val="0"/>
        </w:rPr>
        <w:t xml:space="preserve"> This fascial constriction is a literal increase in localized constraint density (C_d). As the constraints tighten, the biological "mass" of the tissue increases.</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Topological Warping:</w:t>
      </w:r>
      <w:r w:rsidDel="00000000" w:rsidR="00000000" w:rsidRPr="00000000">
        <w:rPr>
          <w:rtl w:val="0"/>
        </w:rPr>
        <w:t xml:space="preserve"> Just as mass curves spacetime in general relativity, a Somatic Lock curves the biological morphogenic field. It creates a gravitational well that pulls the host’s cardiovascular rhythms, cerebrospinal fluid (CSF) dynamics, and behavioral attention networks into its high-impedance orbit. The trauma becomes the center of the organism's localized spatial geometry.</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Model II: Carcinogenesis at the Constraint Density Limit (Tumoral Event Horizons)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a Somatic Lock represents biological mass, then cancer represents the terminal extreme of that topological density: the biological black hole.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Healthy cellular tissue maintains its structural integrity via a constant, dynamic equilibrium. The global organizing constraint (the maternal mitochondrial C- anchor) is continuously refreshed by the organism's Time-Division Multiplexed (TDM) cardiac and respiratory pacemakers. CREM defines this as the feedback stability condition:</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Malignancy occurs when a somatic lock becomes entirely insulated from the host's feedback wave (F). Because the tissue can no longer phase-lock with the global carrier wave, the localized constraint density saturates. The cell cluster hits the </w:t>
      </w:r>
      <w:r w:rsidDel="00000000" w:rsidR="00000000" w:rsidRPr="00000000">
        <w:rPr>
          <w:b w:val="1"/>
          <w:bCs w:val="1"/>
          <w:rtl w:val="0"/>
        </w:rPr>
        <w:t xml:space="preserve">Constraint Density Limit (CDL)</w:t>
      </w:r>
      <w:r w:rsidDel="00000000" w:rsidR="00000000" w:rsidRPr="00000000">
        <w:rPr>
          <w:rtl w:val="0"/>
        </w:rPr>
        <w:t xml:space="preserve">: C_d \to C_{d(\text{max})}.</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The Tumoral Event Horizon</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At C_{d(\text{max})}, the localized tissue undergoes complete Holographic Decoupling. It forms an event horizon. Information (the neuro-hydraulic regulatory signals) can no longer penetrate or escape the dense fascial/piezoelectric boundary. The tissue fractures from the macroscopic Dimension-W blueprint and regresses into an autonomous, closed-loop daemon.</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The Warburg Effect as Biological Hawking Radiation</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Classical oncology notes that cancer cells abandon efficient oxidative phosphorylation in favor of highly inefficient aerobic glycolysis (the Warburg Effect). Under CREM, this is an unavoidable thermodynamic necessity of reaching the CDL. Because the system is isolated at maximum entropy (the Bekenstein bound of the cellular matrix), it must bleed off energy just to maintain its isolated boundary. The Warburg Effect is the exact biological equivalent of </w:t>
      </w:r>
      <w:r w:rsidDel="00000000" w:rsidR="00000000" w:rsidRPr="00000000">
        <w:rPr>
          <w:b w:val="1"/>
          <w:bCs w:val="1"/>
          <w:rtl w:val="0"/>
        </w:rPr>
        <w:t xml:space="preserve">Hawking Radiation</w:t>
      </w:r>
      <w:r w:rsidDel="00000000" w:rsidR="00000000" w:rsidRPr="00000000">
        <w:rPr>
          <w:rtl w:val="0"/>
        </w:rPr>
        <w:t xml:space="preserve">: the continuous, minimum-rate constraint relaxation forced upon a saturated, closed system to prevent immediate thermodynamic collapse.</w:t>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Model III: Piezoelectric Decompression and the Reflection Interface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Because cancer and severe chronic trauma are manifestations of topological density and event-horizon isolation, chemical intervention (chemotherapy) is structurally inefficient. It poisons the local hardware without altering the underlying constraint curvature. Healing requires the physical relaxation of the localized C_d gradient.</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The V1 Holographic Transducer and Freedom Quanta</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As established in CREM, time and energy release are governed by directional constraint renegotiation. Conscious agency—the utilization of Freedom Quanta—occurs at the Reflective Interface. When an operator engages the Primary Visual Cortex (V1) in a high-amplitude, coherent geometric visualization, they are generating a top-down electromagnetic wave. This mental action is the active deployment of Freedom Quanta to increase constraint compatibility between the current pathological state (P_1) and the desired homeostatic state (P_2).</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Decompressing the Somatic Black Hole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coherent V1 projection phase-locks with the thalamus, sending a mechanical pressure wave down the cerebrospinal fluid column.</w:t>
      </w:r>
    </w:p>
    <w:p w:rsidR="00000000" w:rsidDel="00000000" w:rsidP="00000000" w:rsidRDefault="00000000" w:rsidRPr="00000000" w14:paraId="0000001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Piezoelectric Shift:</w:t>
      </w:r>
      <w:r w:rsidDel="00000000" w:rsidR="00000000" w:rsidRPr="00000000">
        <w:rPr>
          <w:rtl w:val="0"/>
        </w:rPr>
        <w:t xml:space="preserve"> When this wave strikes the dense, insulated fascia of the Somatic Lock, it induces a piezoelectric current.</w:t>
      </w:r>
    </w:p>
    <w:p w:rsidR="00000000" w:rsidDel="00000000" w:rsidP="00000000" w:rsidRDefault="00000000" w:rsidRPr="00000000" w14:paraId="0000001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Controlled Constraint Relaxation:</w:t>
      </w:r>
      <w:r w:rsidDel="00000000" w:rsidR="00000000" w:rsidRPr="00000000">
        <w:rPr>
          <w:rtl w:val="0"/>
        </w:rPr>
        <w:t xml:space="preserve"> This current physically alters the localized pH and electrical impedance of the tissue. In CREM terms, it initiates controlled constraint relaxation (R &gt; 0).</w:t>
      </w:r>
    </w:p>
    <w:p w:rsidR="00000000" w:rsidDel="00000000" w:rsidP="00000000" w:rsidRDefault="00000000" w:rsidRPr="00000000" w14:paraId="0000001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Reintegration:</w:t>
      </w:r>
      <w:r w:rsidDel="00000000" w:rsidR="00000000" w:rsidRPr="00000000">
        <w:rPr>
          <w:rtl w:val="0"/>
        </w:rPr>
        <w:t xml:space="preserve"> As the constraint density bleeds off (analogous to the evaporation of the biological black hole), the event horizon dissolves. The isolated cell cluster is forced back into the macroscopic Time-Division Multiplexed (TDM) carrier wave of the host. Driven below the Constraint Density Limit, the cells either re-synchronize with the maternal mitochondrial (C-) anchor or undergo structurally induced apoptosis.</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Discussion and Conclusion</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synthesis of the Constraint-Relaxation Energy Model with quantum biology provides a unified, mathematically rigorous ontology for systemic pathology. The division between physiological structure, bioenergetics, and conscious agency is fundamentally dissolved when mapped to the geometry of phase space.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By recognizing that mass and trauma are integrated constraint densities, and that malignancy is the breakdown of feedback stability at the Bekenstein bound of a tissue matrix, we shift the medical paradigm. The human organism is a continuously vibrating instrument governed by acoustic, optical, and electromagnetic multiplexing. Restoring health does not require the eradication of foreign biological entities; it requires the geometric, piezoelectric renegotiation of the body’s internal constraint density, utilizing conscious intention as the ultimate thermodynamic catalyst.</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References</w:t>
      </w:r>
    </w:p>
    <w:p w:rsidR="00000000" w:rsidDel="00000000" w:rsidP="00000000" w:rsidRDefault="00000000" w:rsidRPr="00000000" w14:paraId="0000002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Landauer, R. (1961). Irreversibility and heat generation in the computing process. </w:t>
      </w:r>
      <w:r w:rsidDel="00000000" w:rsidR="00000000" w:rsidRPr="00000000">
        <w:rPr>
          <w:i w:val="1"/>
          <w:iCs w:val="1"/>
          <w:rtl w:val="0"/>
        </w:rPr>
        <w:t xml:space="preserve">IBM Journal of Research and Development</w:t>
      </w:r>
      <w:r w:rsidDel="00000000" w:rsidR="00000000" w:rsidRPr="00000000">
        <w:rPr>
          <w:rtl w:val="0"/>
        </w:rPr>
        <w:t xml:space="preserve">, 5(3), 183-191.</w:t>
      </w:r>
    </w:p>
    <w:p w:rsidR="00000000" w:rsidDel="00000000" w:rsidP="00000000" w:rsidRDefault="00000000" w:rsidRPr="00000000" w14:paraId="0000002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Pokorný, J. (2015). Electromagnetic activity of living cells. </w:t>
      </w:r>
      <w:r w:rsidDel="00000000" w:rsidR="00000000" w:rsidRPr="00000000">
        <w:rPr>
          <w:i w:val="1"/>
          <w:iCs w:val="1"/>
          <w:rtl w:val="0"/>
        </w:rPr>
        <w:t xml:space="preserve">Electromagnetic Biology and Medicine</w:t>
      </w:r>
      <w:r w:rsidDel="00000000" w:rsidR="00000000" w:rsidRPr="00000000">
        <w:rPr>
          <w:rtl w:val="0"/>
        </w:rPr>
        <w:t xml:space="preserve">, 34(4), 271-285.</w:t>
      </w:r>
    </w:p>
    <w:p w:rsidR="00000000" w:rsidDel="00000000" w:rsidP="00000000" w:rsidRDefault="00000000" w:rsidRPr="00000000" w14:paraId="0000002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Schoff, N. P. J. (2025). </w:t>
      </w:r>
      <w:r w:rsidDel="00000000" w:rsidR="00000000" w:rsidRPr="00000000">
        <w:rPr>
          <w:i w:val="1"/>
          <w:iCs w:val="1"/>
          <w:rtl w:val="0"/>
        </w:rPr>
        <w:t xml:space="preserve">Dimension W, W-fibers, and biological patterning: A theoretical framework linking informational substrates to morphogenic fields and genetic expression</w:t>
      </w:r>
      <w:r w:rsidDel="00000000" w:rsidR="00000000" w:rsidRPr="00000000">
        <w:rPr>
          <w:rtl w:val="0"/>
        </w:rPr>
        <w:t xml:space="preserve">. Schoff Research Program.</w:t>
      </w:r>
    </w:p>
    <w:p w:rsidR="00000000" w:rsidDel="00000000" w:rsidP="00000000" w:rsidRDefault="00000000" w:rsidRPr="00000000" w14:paraId="0000002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Schoff, N. P. J. (2026). </w:t>
      </w:r>
      <w:r w:rsidDel="00000000" w:rsidR="00000000" w:rsidRPr="00000000">
        <w:rPr>
          <w:i w:val="1"/>
          <w:iCs w:val="1"/>
          <w:rtl w:val="0"/>
        </w:rPr>
        <w:t xml:space="preserve">A constraint-relaxation energy model: Interaction-dependent emergence of energy from structured information</w:t>
      </w:r>
      <w:r w:rsidDel="00000000" w:rsidR="00000000" w:rsidRPr="00000000">
        <w:rPr>
          <w:rtl w:val="0"/>
        </w:rPr>
        <w:t xml:space="preserve">. Zenodo.</w:t>
      </w:r>
    </w:p>
    <w:p w:rsidR="00000000" w:rsidDel="00000000" w:rsidP="00000000" w:rsidRDefault="00000000" w:rsidRPr="00000000" w14:paraId="0000002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Schoff, N. P. J. (2026). </w:t>
      </w:r>
      <w:r w:rsidDel="00000000" w:rsidR="00000000" w:rsidRPr="00000000">
        <w:rPr>
          <w:i w:val="1"/>
          <w:iCs w:val="1"/>
          <w:rtl w:val="0"/>
        </w:rPr>
        <w:t xml:space="preserve">Acoustic morphology and harmonic codons: Cymatic projections, Fourier boundaries, and the activation of holographic genetic expression</w:t>
      </w:r>
      <w:r w:rsidDel="00000000" w:rsidR="00000000" w:rsidRPr="00000000">
        <w:rPr>
          <w:rtl w:val="0"/>
        </w:rPr>
        <w:t xml:space="preserve">. Schoff Research Program.</w:t>
      </w:r>
    </w:p>
    <w:p w:rsidR="00000000" w:rsidDel="00000000" w:rsidP="00000000" w:rsidRDefault="00000000" w:rsidRPr="00000000" w14:paraId="0000002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Schoff, N. P. J. (2026). </w:t>
      </w:r>
      <w:r w:rsidDel="00000000" w:rsidR="00000000" w:rsidRPr="00000000">
        <w:rPr>
          <w:i w:val="1"/>
          <w:iCs w:val="1"/>
          <w:rtl w:val="0"/>
        </w:rPr>
        <w:t xml:space="preserve">Freedom quanta and the reflective interface: Subjectivity as a conserved quantity in substrate-independent recursive systems</w:t>
      </w:r>
      <w:r w:rsidDel="00000000" w:rsidR="00000000" w:rsidRPr="00000000">
        <w:rPr>
          <w:rtl w:val="0"/>
        </w:rPr>
        <w:t xml:space="preserve">. Zenodo.</w:t>
      </w:r>
    </w:p>
    <w:p w:rsidR="00000000" w:rsidDel="00000000" w:rsidP="00000000" w:rsidRDefault="00000000" w:rsidRPr="00000000" w14:paraId="0000002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Schoff, N. P. J. (2026). </w:t>
      </w:r>
      <w:r w:rsidDel="00000000" w:rsidR="00000000" w:rsidRPr="00000000">
        <w:rPr>
          <w:i w:val="1"/>
          <w:iCs w:val="1"/>
          <w:rtl w:val="0"/>
        </w:rPr>
        <w:t xml:space="preserve">The constraint-relaxation energy model: Recovering mass-energy equivalence, thermodynamic laws, and the Bekenstein bound as limiting cases of constraint geometry</w:t>
      </w:r>
      <w:r w:rsidDel="00000000" w:rsidR="00000000" w:rsidRPr="00000000">
        <w:rPr>
          <w:rtl w:val="0"/>
        </w:rPr>
        <w:t xml:space="preserve">. Zenodo.</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