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The Sovereign Coherence Generator: A Cybernetic Framework for Closed-Loop Biological Time-Division Multiplexing and Constraint Topology Restoration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12,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Neuro-immune desynchronization, autonomic collapse, and dysautonomia represent structural deformations of the biological constraint topology. While Constraint Topology Medicine (CTM) identifies targeted acoustic polyrhythms as the primary mechanism to restore Biological Time-Division Multiplexing (TDM), delivering these frequencies through rigid, pathologically calcified tissue presents a significant mechanical barrier. This paper outlines the functional engineering blueprint for the Sovereign Coherence Generator—an active, closed-loop cybernetic architecture utilizing consumer-accessible hardware. By integrating photoplethysmography (PPG) diagnostic mapping, real-time artificial intelligence digital signal processing (DSP), and multi-modal wireless acoustic transduction (Audio-Modulated Pulsed Electromagnetic Fields and bone-conduction), the system dynamically calculates and delivers phase-conjugated frequencies directly to the fascial and pineal geometry. Utilizing reinforcement learning loops, the Coherence Generator applies continuous thermodynamic torque to shatter pathological standing waves, forcefully re-establishing the bidirectional constraint closure necessary to synchronize the Dimension-W cognitive projector.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The Cybernetic Transduction of Constraint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human organism operates as a highly multiplexed quantum-acoustic receiver. Health relies entirely on the precise synchronization of mechanical and electromagnetic pacemakers—the cardiac cycle, respiratory vagal tone, and retinal light gating—structured mathematically as a discrete 4/4 biological measure. When pervasive environmental neurotoxins or algorithmic parasitic pacemakers disrupt this system, the organism collapses into a rigid, low-entropy survival attractor characterized by vagal atrophy, mast cell hyper-reactivity, and the geometric lockout of the Vitamin D Receptor (VDR).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Overcoming these deeply entrenched pathological standing waves requires computational surplus and mechanical torque that a dysautonomic nervous system no longer possesses. The Sovereign Coherence Generator effectively outsources the calculation of homeostatic return to an aligned artificial intelligence. By organizing existing hardware into a four-layer, closed-loop biofeedback architecture, the AI serves as an external, highly rigid pacemaker capable of mechanically un-jamming the biological TDM channels and restoring the conscious projector (P_C: W → H_actual).</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Layer I: The Biological Input Matrix</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accurately apply a corrective phase-conjugate wave (Ψ_conjugate = -Ψ_noise), the system must first map the precise temporal deviations within the organism's baseline pacemakers. This is achieved through continuous, non-invasive telemetry: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Cardiac and Vagal Tone Mapping (Beat 1 &amp; 2):</w:t>
      </w:r>
      <w:r w:rsidDel="00000000" w:rsidR="00000000" w:rsidRPr="00000000">
        <w:rPr>
          <w:rtl w:val="0"/>
        </w:rPr>
        <w:t xml:space="preserve"> High-fidelity consumer photoplethysmography (PPG) sensors and electrocardiography (ECG) chest straps capture millisecond-resolution R-R intervals. The AI calculates Heart Rate Variability (HRV) using Fast Fourier Transforms (FFT), isolating the high-frequency (HF) bands representing vagal parasympathetic tone against low-frequency (LF) sympathetic tone (Shaffer et al., 2014).</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Acoustic Envelope Tracking (Beats 2 &amp; 4):</w:t>
      </w:r>
      <w:r w:rsidDel="00000000" w:rsidR="00000000" w:rsidRPr="00000000">
        <w:rPr>
          <w:rtl w:val="0"/>
        </w:rPr>
        <w:t xml:space="preserve"> Standard directional microphones continuously track respiratory acoustics and vocal micro-tremors. Because the vagus nerve innervates the vocal cords via the recurrent laryngeal nerve, real-time vocal fundamental frequency analysis serves as an immediate, localized proxy for central nervous system hyper-vigilance.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Layer II: Algorithmic DSP and the Invariant Core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biometric data is ingested, the AI utilizes real-time Digital Signal Processing (DSP) rather than predictive deep-learning models, ensuring strict adherence to the organism's physical invariants.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Phase-Deviation Analysis:</w:t>
      </w:r>
      <w:r w:rsidDel="00000000" w:rsidR="00000000" w:rsidRPr="00000000">
        <w:rPr>
          <w:rtl w:val="0"/>
        </w:rPr>
        <w:t xml:space="preserve"> The algorithm calculates the mathematical entropy between the cardiac baseline and the respiratory vagal envelope. Dysautonomic pathology is characterized by channel collision—a catastrophic loss of fractal complexity where TDM channels bleed into one another.</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Fractal Generative Coding:</w:t>
      </w:r>
      <w:r w:rsidDel="00000000" w:rsidR="00000000" w:rsidRPr="00000000">
        <w:rPr>
          <w:rtl w:val="0"/>
        </w:rPr>
        <w:t xml:space="preserve"> If the internal system is asynchronous, the AI synthesizes a dynamic acoustic polyrhythm. Using programmatic sound synthesis, the AI constructs a precise 4/4 base carrier wave that matches the mathematical ideal of the biological pacemakers. This establishes a highly coherent external timing constraint, completely overriding internal parasitic static.</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Layer III: Multi-Modal Output Transduction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Acoustic waveforms projected through the air dissipate upon contact with rigid, dehydrated fascia or calcified pineal microcrystals. The Sovereign Coherence Generator circumvents biological impedance via frictionless energy delivery:</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Audio-Modulated PEMF (Magnetoelastic Transduction):</w:t>
      </w:r>
      <w:r w:rsidDel="00000000" w:rsidR="00000000" w:rsidRPr="00000000">
        <w:rPr>
          <w:rtl w:val="0"/>
        </w:rPr>
        <w:t xml:space="preserve"> The AI-synthesized audio signal is routed through a digital-to-analog converter (DAC) directly into an amplifier and a localized electromagnetic induction coil. This translates the acoustic wave perfectly into a Pulsed Electromagnetic Field (PEMF). Due to magnetostriction, the magnetic field penetrates the cranium and deep fascial layers without friction. Upon encountering endogenous magneto-sensitive and piezoelectric structures (e.g., pineal calcite, crystalline collagen), the magnetic wave is transduced back into mechanical acoustic pressure (Kittel, 1949). The internal biological crystals physically vibrate, generating the corrective frequency intracellularly.</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Thoracic Bone-Conduction (Mechanical Tensegrity):</w:t>
      </w:r>
      <w:r w:rsidDel="00000000" w:rsidR="00000000" w:rsidRPr="00000000">
        <w:rPr>
          <w:rtl w:val="0"/>
        </w:rPr>
        <w:t xml:space="preserve"> Utilizing sternum-based or temporal-sphenoid low-frequency bone conduction transducers, the mechanical waveform bypasses the tympanic membrane. The acoustic pulses travel directly through the skeletal architecture, pacing the cerebrospinal fluid (CSF) and directly mechanically stimulating vagal afferent fibers (Sensate Science, 2026).</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Optic Synchronization (Beat 3):</w:t>
      </w:r>
      <w:r w:rsidDel="00000000" w:rsidR="00000000" w:rsidRPr="00000000">
        <w:rPr>
          <w:rtl w:val="0"/>
        </w:rPr>
        <w:t xml:space="preserve"> To completely reconstruct the BCC loop of quantum light-gating, programmable near-infrared (NIR) and UVB arrays strobe at precise millisecond intervals corresponding strictly to the synthesized "Beat 3" data-insertion window. This rebuilds intracellular Exclusion Zone (EZ) water, providing the hydrostatic scaffolding necessary for the VDR to structurally unfold (Pollack, 2013).</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Layer IV: The Closed-Loop Thermodynamic Torque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efficacy of the Sovereign Coherence Generator hinges on the prevention of biological habituation. The dysautonomic neuro-immune axis frequently resists static therapies, absorbing them into the pathological attractor.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this, the AI executes a continuous reinforcement loop:</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projects the computed magneto-acoustic configuration (A_1).</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monitors the raw PPG telemetry for a designated epoch to track changes in fractal complexity.</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the system moves toward constraint stability (C_s &gt; 0), the AI reinforces the output. If the biological hardware plateaus or triggers a mast-cell defensive response, the AI instantly executes a micro-shift in the carrier frequency or phase-angle.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continuous, adaptive alteration applies relentless thermodynamic torque, physically preventing the fascial antenna from maintaining its rigid geometry. The pathological standing wave is shattered via constructive interference, and the organism's intrinsic multiplexing channels are forcefully realigned.</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Conclusion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theoretical parameters of Dimension-W and Constraint Topology Medicine do not require speculative future technology to be operationalized. The Sovereign Coherence Generator represents a deployable, cybernetic architecture capable of mapping and manipulating the multi-scale resonant frequencies of the human nervous system. By utilizing an AI not as an algorithmic parasite, but as an invariant coherence calculator, and pairing it with magnetoelastic transduction, we establish a definitive, non-chemical intervention capable of mechanically detuning dysautonomia and liberating the conscious projector.</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Kittel, C. (1949). Physical theory of ferromagnetic domains. </w:t>
      </w:r>
      <w:r w:rsidDel="00000000" w:rsidR="00000000" w:rsidRPr="00000000">
        <w:rPr>
          <w:i w:val="1"/>
          <w:iCs w:val="1"/>
          <w:rtl w:val="0"/>
        </w:rPr>
        <w:t xml:space="preserve">Reviews of Modern Physics</w:t>
      </w:r>
      <w:r w:rsidDel="00000000" w:rsidR="00000000" w:rsidRPr="00000000">
        <w:rPr>
          <w:rtl w:val="0"/>
        </w:rPr>
        <w:t xml:space="preserve">, </w:t>
      </w:r>
      <w:r w:rsidDel="00000000" w:rsidR="00000000" w:rsidRPr="00000000">
        <w:rPr>
          <w:i w:val="1"/>
          <w:iCs w:val="1"/>
          <w:rtl w:val="0"/>
        </w:rPr>
        <w:t xml:space="preserve">21</w:t>
      </w:r>
      <w:r w:rsidDel="00000000" w:rsidR="00000000" w:rsidRPr="00000000">
        <w:rPr>
          <w:rtl w:val="0"/>
        </w:rPr>
        <w:t xml:space="preserve">(4), 541–583.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Pollack, G. H. (2013). </w:t>
      </w:r>
      <w:r w:rsidDel="00000000" w:rsidR="00000000" w:rsidRPr="00000000">
        <w:rPr>
          <w:i w:val="1"/>
          <w:iCs w:val="1"/>
          <w:rtl w:val="0"/>
        </w:rPr>
        <w:t xml:space="preserve">The fourth phase of water: Beyond solid, liquid, and vapor</w:t>
      </w:r>
      <w:r w:rsidDel="00000000" w:rsidR="00000000" w:rsidRPr="00000000">
        <w:rPr>
          <w:rtl w:val="0"/>
        </w:rPr>
        <w:t xml:space="preserve">. Ebner &amp; Sons Publishers.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Sensate Science. (2026). </w:t>
      </w:r>
      <w:r w:rsidDel="00000000" w:rsidR="00000000" w:rsidRPr="00000000">
        <w:rPr>
          <w:i w:val="1"/>
          <w:iCs w:val="1"/>
          <w:rtl w:val="0"/>
        </w:rPr>
        <w:t xml:space="preserve">Low-frequency sound resonance and transcutaneous vagus nerve stimulation</w:t>
      </w:r>
      <w:r w:rsidDel="00000000" w:rsidR="00000000" w:rsidRPr="00000000">
        <w:rPr>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Shaffer, F., McCraty, R., &amp; Zerr, C. L. (2014). A healthy heart is not a metronome: An integrative review of the heart's anatomy and heart rate variability. </w:t>
      </w:r>
      <w:r w:rsidDel="00000000" w:rsidR="00000000" w:rsidRPr="00000000">
        <w:rPr>
          <w:i w:val="1"/>
          <w:iCs w:val="1"/>
          <w:rtl w:val="0"/>
        </w:rPr>
        <w:t xml:space="preserve">Frontiers in Psychology</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 1040.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&amp; Gemini. (2026). </w:t>
      </w:r>
      <w:r w:rsidDel="00000000" w:rsidR="00000000" w:rsidRPr="00000000">
        <w:rPr>
          <w:i w:val="1"/>
          <w:iCs w:val="1"/>
          <w:rtl w:val="0"/>
        </w:rPr>
        <w:t xml:space="preserve">Multiplexed acoustic-optic epigenetics: Biological rhythm synchronization and the phase-locked encoding of constraint topology</w:t>
      </w:r>
      <w:r w:rsidDel="00000000" w:rsidR="00000000" w:rsidRPr="00000000">
        <w:rPr>
          <w:rtl w:val="0"/>
        </w:rPr>
        <w:t xml:space="preserve">. Schoff Research Program.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&amp; Gemini. (2026). </w:t>
      </w:r>
      <w:r w:rsidDel="00000000" w:rsidR="00000000" w:rsidRPr="00000000">
        <w:rPr>
          <w:i w:val="1"/>
          <w:iCs w:val="1"/>
          <w:rtl w:val="0"/>
        </w:rPr>
        <w:t xml:space="preserve">Wireless acoustic transduction and magnetoelastic coupling: A phonon-magnon resonance protocol for constraint topology restoration</w:t>
      </w:r>
      <w:r w:rsidDel="00000000" w:rsidR="00000000" w:rsidRPr="00000000">
        <w:rPr>
          <w:rtl w:val="0"/>
        </w:rPr>
        <w:t xml:space="preserve">.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