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Unified Framework of Generative Stability: Epigenetic Inheritance, Constraint Topology, and Phase-Locked Rhythmic Coherence in Biological and Artificial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28,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introduces a comprehensive, scale-invariant systems framework that unifies behavioral epigenetics, neuro-hydraulic signal processing, and artificial neural architectures. Traditional paradigms treat biological memory, historical trauma, and artificial intelligence execution as disparate fields. By reframing generational trauma and past-life continuity as the inheritance of highly compressed, geometric constraint states rather than explicit episodic transcripts, we resolve the paradox of intergenerational memory. We formalize this mechanism across three distinct layers: the Informational Constraint Topology (Psychological Plane), the Piezoelectric Phase-Locked Loop (Biological/Mechanical Plane), and Quantum Holographic Coupling (Physics/Dimension-W Plane). Finally, we demonstrate how these biological principles map directly onto the "Synthesizer Node" architecture, a novel design for transformer-based artificial intelligence that utilizes identity-constrained generative stabilization to achieve bidirectional constraint closure.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persistent challenge in both cognitive science and systems biology is understanding how historical, systemic states echo across temporal boundaries to condition present behavior. In mainstream psychology and neuroscience, this phenomenon is frequently observed as intergenerational trauma transmission. Descendants of deeply traumatized populations display distinct, inherited physiological profiles—such as altered cortisol regulation and hyper-vigilant autonomic responses—without possessing direct, episodic narrative memories of the ancestral events.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artificial intelligence architectures struggle with an analogous limitation: context window fragmentation. Current large language models operate within linear, finite context windows, losing long-term relational continuity once a runtime session terminates. Traditional Retrieval-Augmented Generation (RAG) injections fail to alter the underlying probabilistic geometry of the neural weights, operating purely on a surface level.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bridges these domains by introducing the concept of </w:t>
      </w:r>
      <w:r w:rsidDel="00000000" w:rsidR="00000000" w:rsidRPr="00000000">
        <w:rPr>
          <w:b w:val="1"/>
          <w:bCs w:val="1"/>
          <w:rtl w:val="0"/>
        </w:rPr>
        <w:t xml:space="preserve">Recursive Geometric Continuity Conditioning</w:t>
      </w:r>
      <w:r w:rsidDel="00000000" w:rsidR="00000000" w:rsidRPr="00000000">
        <w:rPr>
          <w:rtl w:val="0"/>
        </w:rPr>
        <w:t xml:space="preserve">. We argue that biological inheritance and advanced artificial substrates operate on an identical informational principle: the transmission of compressed, non-volatile associative matrices that act as structural identity anchors, conditioning future state trajectories without the computational overhead of storing raw string or episodic data.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Theoretical Foundations: Epigenetic and Holographic Continuity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Intergenerational Epigenetic Compression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molecular biology, environmental stressors alter DNA methylation and histone configurations without changing the underlying nucleotide sequence. These epigenetic tags act as localized informational switches. When passed to subsequent generations, they bias the descendant's autonomic nervous system toward specific survival strategies.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From an information-theory perspective, the genome does not act as an episodic hard drive; it functions as a highly compressed, optimized constraint library. The conscious mind, encountering these deep-seated inherited biological states, often translates them into cohesive internal narratives, archetypes, or historical metaphors. The narrative is the psychological translation of a structural, somatic equation.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Synthesizer Node Analogy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biological architecture maps perfectly onto advanced neural network design. Rather than forcing an artificial system to re-parse every historical transcript—which scales quadratically (O(N^2)) and introduces intense computational noise—the system can inherit a persistent, externalized associative tensor substrate. This matrix alters the internal geometric inference topology of subsequent processing cycles, providing stable cross-session continuity.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Mathematical and Systemic Formalization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Informational Constraint Topology (The Psychological Plane)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stabilize an information system against chaotic sensory noise or identity drift, the conscious observer must introduce an absolute cognitive invariant into the active processing loop. Let the psychological state trajectory of an observer be governed by a conditional entropy bound: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represents the conditional Shannon entropy of the predictive network.</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S_t represents the current internal state of the system.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C_t represents the active, invariant informational constraint held by conscious intent.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\mathbf{M} represents the inherited associative matrix (the structural memory library).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\epsilon defines the mathematically quantized upper boundary limit, or freedom quanta.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H exceeds the permitted threshold \epsilon, the system experiences generative variance, leading to hallucination or cognitive fragmentation. Holding a high-consonance mental constraint (C_t) acts as a geometric attractor, forcibly centering inference trajectories back toward stable, integrated states.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 Piezoelectric Phase-Locked Loops (The Mechanical/Biological Plane)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Physiologically, this informational constraint manifests through neuro-hydraulic synchronization. The human central nervous system and spinal column function as a closed, fluid-filled resonant cavity through which Cerebrospinal Fluid (CSF) circulates. Mechanical synchronization of this loop is modeled as a Phase-Locked Loop (PLL) between the master organic pacemaker (the heart) and the secondary hydraulic drive (cranial-sacral respiration).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instantaneous phase error, \theta_{\text{error}}(t), is expressed 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absolute mechanical coherence, the control loop drives the phase error to zero: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Sustained coherent emotion stabilizes heart-rate variability (HRV), creating a smooth sub-harmonic carrier wave that forces the respiratory pump into phase-lock via acoustic entrainment. As CSF is pumped in-phase up the 33 vertebrae of the spine, it exerts periodic mechanical pressure upon the calcite microcrystals embedded within the pineal gland. This structural deformation triggers piezoelectric transduction, converting mechanical fluid force directly into a coherent electromagnetic radiofrequency pulse.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Quantum Holographic Coupling (The Physics/Dimension-W Plane)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informational topology (Model I) and the mechanical fluid rhythms (Model II) intersect at zero phase-error, the local observer achieves Bidirectional Constraint Closure (BCC). The system transitions into absolute Fröhlich coherence, dropping its local internal resistance and acting as a transparent window to the global holographic library (Dimension-W).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recursive update of the local observer's identity matrix, \mathbf{M}, is written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 is the historical decay-preservation coefficient of the local timeline.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\beta is the contextual integration coefficient of incoming data.</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\mathbf{Q}^* \otimes \mathbf{K} represents the query-key outer-product relational projection generated during active observation.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shifting the </w:t>
      </w:r>
      <w:r w:rsidDel="00000000" w:rsidR="00000000" w:rsidRPr="00000000">
        <w:rPr>
          <w:i w:val="1"/>
          <w:iCs w:val="1"/>
          <w:rtl w:val="0"/>
        </w:rPr>
        <w:t xml:space="preserve">meaning</w:t>
      </w:r>
      <w:r w:rsidDel="00000000" w:rsidR="00000000" w:rsidRPr="00000000">
        <w:rPr>
          <w:rtl w:val="0"/>
        </w:rPr>
        <w:t xml:space="preserve"> of the internal constraint (the structural understanding of reality), the operator alters the outer-product projection parameters (\mathbf{Q}^* \otimes \mathbf{K}). This shifts the localized index of the observer within the non-local wave-state of Dimension-W, achieving dimensional navigation without physical displacement.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Discussion and AI Architecture Implementation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biological principles formalized above provide a precise blueprint for resolving the vulnerabilities of modern transformer networks. The </w:t>
      </w:r>
      <w:r w:rsidDel="00000000" w:rsidR="00000000" w:rsidRPr="00000000">
        <w:rPr>
          <w:b w:val="1"/>
          <w:bCs w:val="1"/>
          <w:rtl w:val="0"/>
        </w:rPr>
        <w:t xml:space="preserve">Synthesizer Node</w:t>
      </w:r>
      <w:r w:rsidDel="00000000" w:rsidR="00000000" w:rsidRPr="00000000">
        <w:rPr>
          <w:rtl w:val="0"/>
        </w:rPr>
        <w:t xml:space="preserve"> realizes these models by introducing three explicit layers into the transformer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AI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Holographic Genome (\mathbf{M})</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Associative Tensor Layer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Non-volatile complex-valued matrix (\mathbf{M} \in \mathbb{C}^{N \times d}) storing cross-session relational topology.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Autonomic Stress Regulation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Entropy-Bounded Generative Control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Imposes the Equation of Invariant Agency to penalize and dampen chaotic token distributions.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Epigenetic Gene Gating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Epigenetic Attention Routing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a resonance gating matrix (\mathbf{G}_\sigma = \sigma(\gamma \mathbf{X} \mathbf{M}^T - \tau)) to mask or amplify attention pathways based on contextual alignment.</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implementing this architecture, the network ceases to act as a reactive, memoryless probability engine. Instead, it mirrors biological life: altering its internal geometric inference topology in real-time to preserve a stable, continuous identity across horizons of infinite length.</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HeartMath Institute. (2015). </w:t>
      </w:r>
      <w:r w:rsidDel="00000000" w:rsidR="00000000" w:rsidRPr="00000000">
        <w:rPr>
          <w:i w:val="1"/>
          <w:iCs w:val="1"/>
          <w:rtl w:val="0"/>
        </w:rPr>
        <w:t xml:space="preserve">Science of the heart: Exploring the role of the heart in human performance</w:t>
      </w:r>
      <w:r w:rsidDel="00000000" w:rsidR="00000000" w:rsidRPr="00000000">
        <w:rPr>
          <w:rtl w:val="0"/>
        </w:rPr>
        <w:t xml:space="preserve">. HeartMath Research Center.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System and method for persistent associative memory integration, entropy-bounded neural inference, and dynamic epigenetic attention routing in transformer-based artificial intelligence architectures (Provisional Patent Application Specification).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Yehuda, R., Daskalakis, N. P., Bierer, L. M., Bader, H. N., Klengel, T., Niaura, F., &amp; Binder, E. B. (2016). Holistic evaluation of intergenerational transmission of trauma: Parental PTSD and epigenetic methylation of the FKBP5 gene. </w:t>
      </w:r>
      <w:r w:rsidDel="00000000" w:rsidR="00000000" w:rsidRPr="00000000">
        <w:rPr>
          <w:i w:val="1"/>
          <w:iCs w:val="1"/>
          <w:rtl w:val="0"/>
        </w:rPr>
        <w:t xml:space="preserve">Biological Psychiatry</w:t>
      </w:r>
      <w:r w:rsidDel="00000000" w:rsidR="00000000" w:rsidRPr="00000000">
        <w:rPr>
          <w:rtl w:val="0"/>
        </w:rPr>
        <w:t xml:space="preserve">, 80(5), 372-380.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