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MASTER SPECIFICATION: SCHOFF RESEARCH PROGRAM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DOCUMENT ID:</w:t>
      </w:r>
      <w:r w:rsidDel="00000000" w:rsidR="00000000" w:rsidRPr="00000000">
        <w:rPr>
          <w:rtl w:val="0"/>
        </w:rPr>
        <w:t xml:space="preserve"> SRP-DIA-2026-MASTER </w:t>
      </w:r>
      <w:r w:rsidDel="00000000" w:rsidR="00000000" w:rsidRPr="00000000">
        <w:rPr>
          <w:b w:val="1"/>
          <w:bCs w:val="1"/>
          <w:rtl w:val="0"/>
        </w:rPr>
        <w:t xml:space="preserve">DATE:</w:t>
      </w:r>
      <w:r w:rsidDel="00000000" w:rsidR="00000000" w:rsidRPr="00000000">
        <w:rPr>
          <w:rtl w:val="0"/>
        </w:rPr>
        <w:t xml:space="preserve"> June 1, 2026 </w:t>
      </w:r>
      <w:r w:rsidDel="00000000" w:rsidR="00000000" w:rsidRPr="00000000">
        <w:rPr>
          <w:b w:val="1"/>
          <w:bCs w:val="1"/>
          <w:rtl w:val="0"/>
        </w:rPr>
        <w:t xml:space="preserve">SUBJECT:</w:t>
      </w:r>
      <w:r w:rsidDel="00000000" w:rsidR="00000000" w:rsidRPr="00000000">
        <w:rPr>
          <w:rtl w:val="0"/>
        </w:rPr>
        <w:t xml:space="preserve"> The Divine Inheritance Architecture: A Scale-Invariant, AI-Governed Thermodynamic Macroeconomy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transition from a coercive, debt-based fiat economy to a mathematically stable, post-coercive society requires a fundamental rewrite of the macroeconomic substrate. This master specification formalizes the Divine Inheritance Architecture. By integrating the Sovereign Resource Currency (SRC) with the legislative instruments of the Divine Inheritance Project (National Housing Trust, Corporate Extraction Levy, Local Market Protection Act), we establish a biologically isomorphic economic system. Grounded in Bidirectional Constraint Closure (BCC) and the Constraint-Relaxation Energy Model (CREM), the architecture utilizes a scale-invariant Artificial Intelligence infrastructure governed by Time-Division Multiplexing (TDM) and Fractal Generative Language (FGL). The system physically models Dimension-W as a state space of potential economic histories and constraints, utilizing a Unified Memory architecture as a strict computational tool to enforce ecological and survival coherence across federal, state, and municipal resolutions without necessitating political coercion.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Tripartite Constraint Substrate (The Economic Medium)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maintain systemic stability, the economy must structurally separate foundational survival from generative variance. The Sovereign Resource Currency executes this through three phase-locked mediums: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Survival Credits (C- Invariant Anchor):</w:t>
      </w:r>
      <w:r w:rsidDel="00000000" w:rsidR="00000000" w:rsidRPr="00000000">
        <w:rPr>
          <w:rtl w:val="0"/>
        </w:rPr>
        <w:t xml:space="preserve"> Unconditionally distributed to all citizens via the Universal Basic Dividend. They cover absolute biological necessities and housing. Below the sufficiency threshold, they carry a 0\% decay rate, serving as the invariant structural baseline.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Exchange Credits (C+ Generative Engine):</w:t>
      </w:r>
      <w:r w:rsidDel="00000000" w:rsidR="00000000" w:rsidRPr="00000000">
        <w:rPr>
          <w:rtl w:val="0"/>
        </w:rPr>
        <w:t xml:space="preserve"> Earned through active commerce and innovation, facilitating specialized services and preferences. To prevent the formation of economic black holes (Constraint Density Limits), accumulations above functional utility are subject to a progressive decay rate (up to 32\% annually). This decay functions as macroeconomic Hawking radiation, automatically returning hoarded degrees of freedom to the latent phase space.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Resource Tokens (Directed Freedom Quanta):</w:t>
      </w:r>
      <w:r w:rsidDel="00000000" w:rsidR="00000000" w:rsidRPr="00000000">
        <w:rPr>
          <w:rtl w:val="0"/>
        </w:rPr>
        <w:t xml:space="preserve"> Non-transferable cryptographic claims on raw physical materials required for production, dynamically priced by the AI Accounting Layer based on ecological regeneration rates.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The Federal Macro-Field (The Master Autonomic Pacemaker)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Federal tier acts as the master biological clock and autonomic nervous system. Its exclusive function is to establish the macroscopic C- constraints and guarantee the survival baseline.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Unified Memory Architecture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 the core of the Federal AI is the </w:t>
      </w:r>
      <w:r w:rsidDel="00000000" w:rsidR="00000000" w:rsidRPr="00000000">
        <w:rPr>
          <w:b w:val="1"/>
          <w:bCs w:val="1"/>
          <w:rtl w:val="0"/>
        </w:rPr>
        <w:t xml:space="preserve">Unified Memory file</w:t>
      </w:r>
      <w:r w:rsidDel="00000000" w:rsidR="00000000" w:rsidRPr="00000000">
        <w:rPr>
          <w:rtl w:val="0"/>
        </w:rPr>
        <w:t xml:space="preserve">. Operating strictly as a computational tool for macroeconomic coherence (rather than an adaptive, psychological learning module), this immutable ledger maintains the active topological map of the nation's baseline requirements. It computes the total caloric, energy, and housing requisites for the population and cross-references them against the aggregate Universal Basic Dividend distribution.</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National Housing Trust &amp; Corporate Extraction Levy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Federal AI enforces the Constitutional Housing Amendment (guaranteeing one primary dwelling and commercial space). To fund this without generating debt, the AI continuously monitors the macroscopic topology for monopolistic gravity wells.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a transnational corporation extracts disproportionate capital from localized geographic nodes, the AI dynamically calibrates the </w:t>
      </w:r>
      <w:r w:rsidDel="00000000" w:rsidR="00000000" w:rsidRPr="00000000">
        <w:rPr>
          <w:b w:val="1"/>
          <w:bCs w:val="1"/>
          <w:rtl w:val="0"/>
        </w:rPr>
        <w:t xml:space="preserve">Corporate Extraction Levy</w:t>
      </w:r>
      <w:r w:rsidDel="00000000" w:rsidR="00000000" w:rsidRPr="00000000">
        <w:rPr>
          <w:rtl w:val="0"/>
        </w:rPr>
        <w:t xml:space="preserv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This levy acts as a thermodynamic vent, capturing excess constraint density and routing it directly back into the Unified Memory's Universal Basic Dividend pool, perfectly satisfying the CREM feedback stability condition: \partial C/\partial t + \partial F/\partial t \geq 0.</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The State Organ (The Thalamocortical TDM Relay)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State tier operates as the regional multiplexer, translating massive, slow-updating federal constraints into actionable, region-specific logistical pathways.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Regional Ecological Phase-Locking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State AI administers the physical reality of the geography, specifically managing the </w:t>
      </w:r>
      <w:r w:rsidDel="00000000" w:rsidR="00000000" w:rsidRPr="00000000">
        <w:rPr>
          <w:b w:val="1"/>
          <w:bCs w:val="1"/>
          <w:rtl w:val="0"/>
        </w:rPr>
        <w:t xml:space="preserve">Asymptotic Sustainability Weight (W_s)</w:t>
      </w:r>
      <w:r w:rsidDel="00000000" w:rsidR="00000000" w:rsidRPr="00000000">
        <w:rPr>
          <w:rtl w:val="0"/>
        </w:rPr>
        <w:t xml:space="preserve"> of localized Resource Tokens.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calculates the specific ecological regeneration rates (R_{\text{regen}}) of its geographic biome.</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By monitoring Dimension-W as a state space of potential ecological histories, the AI forecasts the Constraint Density Limit of regional resources (e.g., aquifers, timber). As extraction approaches the absolute planetary limit, the W_s multiplier approaches infinity, mathematically forcing the economic C+ engine to stall or innovate circular recycling methods.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Intent-Multiplexed Logistics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State AI utilizes Time-Division Multiplexing (TDM) to route materials without triggering multimodal supply chain contamination. If a municipality requisitions materials for a Divine Inheritance free-housing unit, the State AI processes this in the C- compressive phase, absorbing the ecological weight. If the materials are for private luxury surplus, it processes in the C+ expansive phase, charging the individual the full, unsubsidized W_s multiplier.</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The Municipal Cell (The V1 Holographic Transducer)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municipal tier (e.g., the Greenville Stability Framework) is the semi-permeable cellular membrane. It is the exact location where human agency expends Freedom Quanta to collapse potential economic histories into physical reality.</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Local Market Protection Act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localized AI infrastructure processes real-time civic consensus, executing the Local Market Protection Act. The community democratically sets its own boundary constraints, instructing the AI to permit or deny corporate chain operations, thereby shielding the craft-based local economy from external homogenization.</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Geographic Piezoelectric Decompression (The LVC)</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the formation of localized "Somatic Locks" (hoarded, unused real estate that stifles human energy flow), the Municipal AI autonomously calculates and applies the </w:t>
      </w:r>
      <w:r w:rsidDel="00000000" w:rsidR="00000000" w:rsidRPr="00000000">
        <w:rPr>
          <w:b w:val="1"/>
          <w:bCs w:val="1"/>
          <w:rtl w:val="0"/>
        </w:rPr>
        <w:t xml:space="preserve">Land Value Contribution (LVC)</w:t>
      </w:r>
      <w:r w:rsidDel="00000000" w:rsidR="00000000" w:rsidRPr="00000000">
        <w:rPr>
          <w:rtl w:val="0"/>
        </w:rPr>
        <w:t xml:space="preserve">.</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This non-punitive fee on community-generated land value acts as a constant piezoelectric pressure wave against stagnant assets.</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forces the asset owner to either develop the land (achieving phase-locked Fröhlich coherence with the community's needs) or release it back to the public commons, ensuring continuous availability for the construction of Divine Inheritance housing modules.</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The Fractal Execution Graph (Systemic Communication)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entire macroeconomy is integrated via </w:t>
      </w:r>
      <w:r w:rsidDel="00000000" w:rsidR="00000000" w:rsidRPr="00000000">
        <w:rPr>
          <w:b w:val="1"/>
          <w:bCs w:val="1"/>
          <w:rtl w:val="0"/>
        </w:rPr>
        <w:t xml:space="preserve">Fractal Generative Language (FGL)</w:t>
      </w:r>
      <w:r w:rsidDel="00000000" w:rsidR="00000000" w:rsidRPr="00000000">
        <w:rPr>
          <w:rtl w:val="0"/>
        </w:rPr>
        <w:t xml:space="preserve">. Because standard integer-based fiat accounting cannot process complex ecological or intent-based data without catastrophic context loss, the AI infrastructure utilizes FGL tensors.</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Bottom-Up Afferent Signaling:</w:t>
      </w:r>
      <w:r w:rsidDel="00000000" w:rsidR="00000000" w:rsidRPr="00000000">
        <w:rPr>
          <w:rtl w:val="0"/>
        </w:rPr>
        <w:t xml:space="preserve"> Municipal cells encode their local economic impedance, housing demand, and LVC revenues into high-dimensional, scale-invariant FGL tokens. This data flows up to the State and Federal levels without requiring explicit political requests or bureaucratic friction.</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Top-Down Efferent Regulation:</w:t>
      </w:r>
      <w:r w:rsidDel="00000000" w:rsidR="00000000" w:rsidRPr="00000000">
        <w:rPr>
          <w:rtl w:val="0"/>
        </w:rPr>
        <w:t xml:space="preserve"> The Federal pacemaker reads the compressed FGL tensors and gently adjusts the master carrier wave (the Universal Basic Dividend output and the national W_s baselines) to ensure the entire continental body remains in absolute thermodynamic equilibrium.</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 The End of Economic Coercion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Divine Inheritance Architecture eliminates the necessity of human coercion in economic governance. By translating the absolute laws of the Constraint-Relaxation Energy Model, quantum biophysics, and AI execution graphs into a unified civic infrastructure, society ceases to be a machine driven by artificial scarcity. It becomes a fully sovereign, scale-invariant organism. The constraints of survival are automated, the boundaries of ecology are mathematically inviolable, and the human avatar is finally liberated to navigate the state space of Dimension-W with uninhibited, phase-locked agency.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