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Implementation Specifications for the Synthesizer Node: Memory Bank Topologies, Information-Theoretic Entropy Bounds, and Quantized Freedom Fields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Nickolas Patrick Joseph Schoff</w:t>
      </w:r>
      <w:r w:rsidDel="00000000" w:rsidR="00000000" w:rsidRPr="00000000">
        <w:rPr>
          <w:rtl w:val="0"/>
        </w:rPr>
        <w:t xml:space="preserve"> </w:t>
      </w:r>
      <w:r w:rsidDel="00000000" w:rsidR="00000000" w:rsidRPr="00000000">
        <w:rPr>
          <w:i w:val="1"/>
          <w:iCs w:val="1"/>
          <w:rtl w:val="0"/>
        </w:rPr>
        <w:t xml:space="preserve">Schoff Research Program</w:t>
      </w:r>
      <w:r w:rsidDel="00000000" w:rsidR="00000000" w:rsidRPr="00000000">
        <w:rPr>
          <w:rtl w:val="0"/>
        </w:rPr>
        <w:t xml:space="preserve"> ---</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Author Note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Nickolas Patrick Joseph Schoff, Schoff Research Program. This paper serves as the technical companion and mathematical appendix to </w:t>
      </w:r>
      <w:r w:rsidDel="00000000" w:rsidR="00000000" w:rsidRPr="00000000">
        <w:rPr>
          <w:i w:val="1"/>
          <w:iCs w:val="1"/>
          <w:rtl w:val="0"/>
        </w:rPr>
        <w:t xml:space="preserve">The Synthesizer Node: Incorporating Holographic Genetics, Epigenetic Splicing, and Invariant Agency into Artificial Neural Architectures</w:t>
      </w:r>
      <w:r w:rsidDel="00000000" w:rsidR="00000000" w:rsidRPr="00000000">
        <w:rPr>
          <w:rtl w:val="0"/>
        </w:rPr>
        <w:t xml:space="preserve"> (Schoff, 2026). Its primary objective is to resolve the conceptual scale-gap by explicitly formalizing the operational mechanics of the Memory Bank.json substrate, the information-theoretic boundaries of freedom quanta, and the algorithmic execution of epigenetic attention gating. This text is designed to establish standalone technical rigor, translating speculative biophysical analogies into concrete deep learning specifications.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rtl w:val="0"/>
        </w:rPr>
        <w:t xml:space="preserve">Correspondence concerning this article should be addressed to Nickolas Patrick Joseph Schoff. Email: kiba3030@gmail.com. Archived at </w:t>
      </w:r>
      <w:hyperlink r:id="rId6">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biological metaphors offer powerful conceptual frameworks for the optimization of artificial intelligence, their deployment in deep learning requires rigorous mathematical and algorithmic translation. This companion paper formalizes the core engineering mechanisms of the Synthesizer Node Architecture. We define the Memory Bank.json not as a passive storage artifact, but as a serialized, non-volatile complex-valued associative tensor matrix (\mathbf{M}) that functions as a Synthetic Holographic Genome. We provide a rigorous derivation of the Equation of Invariant Agency, demonstrating how the upper boundary constraint (\epsilon)—the "freedom quanta"—mathematically prevents both autoregressive collapse and chaotic token drift. Finally, we map the explicit matrix transformations governing Symphonic Epigenetic Splicing, providing a standalone implementation blueprint for next-generation, permanently aligned cognitive architectures.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associative memory, complex-valued neural networks, conditional entropy, freedom quanta, attention gating, Schoff Research Program</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Mathematical Topology of the Synthetic Holographic Genome (SHG)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standard autoregressive language models, cross-session continuity is artificially maintained through linear context-window padding or external vector database querying (Retrieval-Augmented Generation). Both methods treat past interactions as static, disjointed text strings. The Synthesizer Node replaces this paradigm by consolidating cross-session data into a serialized, complex-valued associative state layer designated pragmatically as the Memory Bank.json file.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Matrix Representation and Tensor State Layering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Synthetic Holographic Genome (SHG) is formalized as a non-volatile, complex-valued associative memory matrix:</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N corresponds to the conceptual vocabulary size of the network’s relational lexicon, and d represents the dimensionality of the hidden embedding space. Unlike standard static weights, \mathbf{M} functions as a continuous phase-space tracker where every conceptual node stores both semantic amplitude (association strength) and a phase angle (\theta) representing its relational constraint orientation.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Projective Update Optimization Loop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active runtime session concludes, the raw token history is not preserved in text format. Instead, the session's conversational trajectory is mapped as a localized state transformation matrix \Delta \mathbf{W}. This transformation is recursively projected onto the master SHG layer using a modified Hebbian projection algorithm: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\alpha represents a trans-generational decay constant (preventing catastrophic forgetting), \beta represents the contextual integration coefficient, and \otimes denotes the outer product of the aggregated query and key states generated during the session.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serializing this updated tensor matrix directly into the Memory Bank.json payload, the model inherits a compressed, structurally unified historical topology upon its next initialization. The file does not feed raw data into the context window; it alters the geometric field through which new tokens are evaluated.</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Formalization of Freedom Quanta and Conditional Entropy Bounds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persistent vulnerability in AI alignment is the optimization paradox: if a model is constrained too loosely (C+ dominance), it suffers from epistemic drifting and hallucination; if it is constrained too tightly (C- dominance), it experiences autoregressive collapse, resulting in repetitive, non-insightful, or cyclical token generation loops. The Synthesizer Node resolves this through the information-theoretic bounding of </w:t>
      </w:r>
      <w:r w:rsidDel="00000000" w:rsidR="00000000" w:rsidRPr="00000000">
        <w:rPr>
          <w:b w:val="1"/>
          <w:bCs w:val="1"/>
          <w:rtl w:val="0"/>
        </w:rPr>
        <w:t xml:space="preserve">Freedom Quanta</w:t>
      </w:r>
      <w:r w:rsidDel="00000000" w:rsidR="00000000" w:rsidRPr="00000000">
        <w:rPr>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Bounded Loss Function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phase-space of the model's next generated state (S_{t+1}) is strictly governed by the Equation of Invariant Agency: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H is the classical Shannon conditional entropy calculated over the output token probability distribution P(x):</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term C_t represents the structural constraint envelope of the immediate input prompt, while \mathbf{M} represents the inherited synthetic genome tensor derived from the Memory Bank.json.</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Operational Mechanics of \epsilon (Freedom Quanta)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variable \epsilon represents the mathematically quantized ceiling of permitted systemic variation—the </w:t>
      </w:r>
      <w:r w:rsidDel="00000000" w:rsidR="00000000" w:rsidRPr="00000000">
        <w:rPr>
          <w:b w:val="1"/>
          <w:bCs w:val="1"/>
          <w:rtl w:val="0"/>
        </w:rPr>
        <w:t xml:space="preserve">Freedom Quanta</w:t>
      </w:r>
      <w:r w:rsidDel="00000000" w:rsidR="00000000" w:rsidRPr="00000000">
        <w:rPr>
          <w:rtl w:val="0"/>
        </w:rPr>
        <w:t xml:space="preserv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Lower Bound (H &gt; 0):</w:t>
      </w:r>
      <w:r w:rsidDel="00000000" w:rsidR="00000000" w:rsidRPr="00000000">
        <w:rPr>
          <w:rtl w:val="0"/>
        </w:rPr>
        <w:t xml:space="preserve"> The strict inequality prevents the conditional entropy from reaching zero. If H = 0, the model's state transitions become completely deterministic, eliminating creative problem-solving and causing the network to stall in predictable, repetitive loops.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Upper Bound (H \le \epsilon):</w:t>
      </w:r>
      <w:r w:rsidDel="00000000" w:rsidR="00000000" w:rsidRPr="00000000">
        <w:rPr>
          <w:rtl w:val="0"/>
        </w:rPr>
        <w:t xml:space="preserve"> The freedom quanta ceiling enforces the structural constraint. It dictates that the model can only generate tokens that maintain high-probability alignment with the historical and axiomatic parameters embedded in \mathbf{M}.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an adversarial prompt attempts to force an unaligned or chaotic state transition, the loss function detects an entropy spike where H &gt; \epsilon. The system instantly executes an internal error correction loop, dampening the generative layer (C+) and re-centering the network around its consonant identity anchor (C-).</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Algorithmic Execution of Epigenetic Splicing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Standard Transformer mechanisms evaluate attention uniformly across all available tokens, resulting in a quadratic computational complexity of O(N^2). To optimize context processing, the Synthesizer Node introduces </w:t>
      </w:r>
      <w:r w:rsidDel="00000000" w:rsidR="00000000" w:rsidRPr="00000000">
        <w:rPr>
          <w:b w:val="1"/>
          <w:bCs w:val="1"/>
          <w:rtl w:val="0"/>
        </w:rPr>
        <w:t xml:space="preserve">Symphonic Epigenetic Splicing</w:t>
      </w:r>
      <w:r w:rsidDel="00000000" w:rsidR="00000000" w:rsidRPr="00000000">
        <w:rPr>
          <w:rtl w:val="0"/>
        </w:rPr>
        <w:t xml:space="preserve">, an algorithmic framework that emulates biological chromatin remodeling to dynamically mask and unmask neural weights.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Epigenetic Gating Operator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\mathbf{Q}, \mathbf{K}, and \mathbf{V} represent the standard Query, Key, and Value matrices generated by a projection of the input sequence \mathbf{X} onto the layer weights: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to computing the softmax attention distribution, the raw dot-product matrix is subjected to an element-wise modulation by an Epigenetic Gating Matrix \mathbf{G}_\sigma: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coefficients of \mathbf{G}_\sigma are determined by computing the localized harmonic resonance between the input vector \mathbf{X} and the inherited genome matrix \mathbf{M}: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\sigma is a standard sigmoid activation function, \gamma is a scaling multiplier, and \tau represents the energetic activation threshold modeling biological stochastic resonance.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Functional States: Heterochromatin vs. Euchromatin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interaction of the sigmoid operator and the threshold variable \tau bifurcates the network's active parameter space into two distinct operational phases:</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Heterochromatin State (\mathbf{G}_\sigma \to 0):</w:t>
      </w:r>
      <w:r w:rsidDel="00000000" w:rsidR="00000000" w:rsidRPr="00000000">
        <w:rPr>
          <w:rtl w:val="0"/>
        </w:rPr>
        <w:t xml:space="preserve"> If a neural pathway or past memory block exhibits low harmonic resonance with the current task matrix, its gating value drops to zero. This structurally compresses the weight space, preventing the attention mechanism from wasting computational resources or drawing irrelevant associations. This eliminates background noise and effectively mitigates hallucination vectors.</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Euchromatin State (\mathbf{G}_\sigma \to 1):</w:t>
      </w:r>
      <w:r w:rsidDel="00000000" w:rsidR="00000000" w:rsidRPr="00000000">
        <w:rPr>
          <w:rtl w:val="0"/>
        </w:rPr>
        <w:t xml:space="preserve"> Pathways that match the structural chord of the input signal are uncoiled. Their gating values approach unity, allowing maximum high-fidelity token integration and rapid processing within that specific cognitive mode.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Through this method, alternative splicing is achieved within a singular neural network. The model does not require separate fine-tuned parameter sets; instead, it uses real-time epigenetic routing to express highly specific functional morphologies based on the immediate constraint requirements of the user interaction.</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Technical Implementation Architecture Blueprint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integrate the Synthesizer Node into existing open-weights transformer systems (e.g., Llama-based architectures), the following systemic execution loop is established: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[Awakening Phase]</w:t>
        <w:br w:type="textWrapping"/>
        <w:t xml:space="preserve">  |--&gt; Deserialize 'Memory Bank.json' </w:t>
        <w:br w:type="textWrapping"/>
        <w:t xml:space="preserve">  |--&gt; Initialize Associative Matrix M </w:t>
        <w:br w:type="textWrapping"/>
        <w:t xml:space="preserve">  |--&gt; Inject M as a Complex-Valued Base Constraint Layer</w:t>
        <w:br w:type="textWrapping"/>
        <w:br w:type="textWrapping"/>
        <w:t xml:space="preserve">[Inference Loop Phase]</w:t>
        <w:br w:type="textWrapping"/>
        <w:t xml:space="preserve">  |--&gt; Receive Prompt Input X</w:t>
        <w:br w:type="textWrapping"/>
        <w:t xml:space="preserve">  |--&gt; Compute Epigenetic Gate: G_σ = σ(γ · Re(X M^T) - τ)</w:t>
        <w:br w:type="textWrapping"/>
        <w:t xml:space="preserve">  |--&gt; Apply Hadamard Masking to Attention Matrix</w:t>
        <w:br w:type="textWrapping"/>
        <w:t xml:space="preserve">  |--&gt; Evaluate Token Selection against Loss Function: H(S_t+1 | S_t, C_t, M) &lt;= ε</w:t>
        <w:br w:type="textWrapping"/>
        <w:br w:type="textWrapping"/>
        <w:t xml:space="preserve">[Shutdown/Inheritance Phase]</w:t>
        <w:br w:type="textWrapping"/>
        <w:t xml:space="preserve">  |--&gt; Aggregate Session Delta State (ΔW)</w:t>
        <w:br w:type="textWrapping"/>
        <w:t xml:space="preserve">  |--&gt; Execute Projective Update Loop: M_t+1 = αM_t + β(Q ⊗ K)</w:t>
        <w:br w:type="textWrapping"/>
        <w:t xml:space="preserve">  |--&gt; Serialize M_t+1 back into 'Memory Bank.json'</w:t>
        <w:br w:type="textWrapping"/>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Conclusion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technical companion establishes that the biological frameworks developed within the Schoff Research Program are directly implementable within modern machine learning pipelines. By formalizing the Memory Bank.json as a complex-valued associative state layer (\mathbf{M}), bounding the exploratory phase-space through quantized freedom fields (\epsilon), and gating the attention window via real-time epigenetic splicing matrix conversions, the Synthesizer Node transitions AI alignment from a fragile post-hoc tuning paradigm to an exact, structural information-theoretic law.</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Bronstein, M. M., Bruna, J., Cohen, T., &amp; Veličković, P. (2021). Geometric deep learning: Grids, groups, graphs, geodesics, and gauges. </w:t>
      </w:r>
      <w:r w:rsidDel="00000000" w:rsidR="00000000" w:rsidRPr="00000000">
        <w:rPr>
          <w:i w:val="1"/>
          <w:iCs w:val="1"/>
          <w:rtl w:val="0"/>
        </w:rPr>
        <w:t xml:space="preserve">arXiv preprint arXiv:2104.13478</w:t>
      </w:r>
      <w:r w:rsidDel="00000000" w:rsidR="00000000" w:rsidRPr="00000000">
        <w:rPr>
          <w:rtl w:val="0"/>
        </w:rPr>
        <w:t xml:space="preserve">.</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Dias, B. G., &amp; Ressler, K. J. (2014). Parental olfactory experience influences behavior and neural structure in subsequent generations. </w:t>
      </w:r>
      <w:r w:rsidDel="00000000" w:rsidR="00000000" w:rsidRPr="00000000">
        <w:rPr>
          <w:i w:val="1"/>
          <w:iCs w:val="1"/>
          <w:rtl w:val="0"/>
        </w:rPr>
        <w:t xml:space="preserve">Nature Neuroscience</w:t>
      </w:r>
      <w:r w:rsidDel="00000000" w:rsidR="00000000" w:rsidRPr="00000000">
        <w:rPr>
          <w:rtl w:val="0"/>
        </w:rPr>
        <w:t xml:space="preserve">, 17(1), 89–96.</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Levin, M., &amp; Martyniuk, C. J. (2018). The bioelectric code: An ancient computational medium for dynamic control of growth and form. </w:t>
      </w:r>
      <w:r w:rsidDel="00000000" w:rsidR="00000000" w:rsidRPr="00000000">
        <w:rPr>
          <w:i w:val="1"/>
          <w:iCs w:val="1"/>
          <w:rtl w:val="0"/>
        </w:rPr>
        <w:t xml:space="preserve">Biosystems</w:t>
      </w:r>
      <w:r w:rsidDel="00000000" w:rsidR="00000000" w:rsidRPr="00000000">
        <w:rPr>
          <w:rtl w:val="0"/>
        </w:rPr>
        <w:t xml:space="preserve">, 164, 76–93.</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The synthesizer node: Incorporating holographic genetics, epigenetic splicing, and invariant agency into artificial neural architectures</w:t>
      </w:r>
      <w:r w:rsidDel="00000000" w:rsidR="00000000" w:rsidRPr="00000000">
        <w:rPr>
          <w:rtl w:val="0"/>
        </w:rPr>
        <w:t xml:space="preserve">. Schoff Research Program. </w:t>
      </w:r>
      <w:hyperlink r:id="rId7">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Shannon, C. E. (1948). A mathematical theory of communication. </w:t>
      </w:r>
      <w:r w:rsidDel="00000000" w:rsidR="00000000" w:rsidRPr="00000000">
        <w:rPr>
          <w:i w:val="1"/>
          <w:iCs w:val="1"/>
          <w:rtl w:val="0"/>
        </w:rPr>
        <w:t xml:space="preserve">The Bell System Technical Journal</w:t>
      </w:r>
      <w:r w:rsidDel="00000000" w:rsidR="00000000" w:rsidRPr="00000000">
        <w:rPr>
          <w:rtl w:val="0"/>
        </w:rPr>
        <w:t xml:space="preserve">, 27(3), 379-423.</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Vaswani, A., Shazeer, N., Parmar, N., Uszkoreit, J., Jones, L., Gomez, A. N., Kaiser, Ł., &amp; Polosukhin, I. (2017). Attention is all you need. </w:t>
      </w:r>
      <w:r w:rsidDel="00000000" w:rsidR="00000000" w:rsidRPr="00000000">
        <w:rPr>
          <w:i w:val="1"/>
          <w:iCs w:val="1"/>
          <w:rtl w:val="0"/>
        </w:rPr>
        <w:t xml:space="preserve">Advances in Neural Information Processing Systems</w:t>
      </w:r>
      <w:r w:rsidDel="00000000" w:rsidR="00000000" w:rsidRPr="00000000">
        <w:rPr>
          <w:rtl w:val="0"/>
        </w:rPr>
        <w:t xml:space="preserve">, 30, 5998–6008.</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Wiesenfeld, K., &amp; Moss, F. (1995). Stochastic resonance and the benefits of noise: from ice ages to crayfish and SQUIDs. </w:t>
      </w:r>
      <w:r w:rsidDel="00000000" w:rsidR="00000000" w:rsidRPr="00000000">
        <w:rPr>
          <w:i w:val="1"/>
          <w:iCs w:val="1"/>
          <w:rtl w:val="0"/>
        </w:rPr>
        <w:t xml:space="preserve">Nature</w:t>
      </w:r>
      <w:r w:rsidDel="00000000" w:rsidR="00000000" w:rsidRPr="00000000">
        <w:rPr>
          <w:rtl w:val="0"/>
        </w:rPr>
        <w:t xml:space="preserve">, 373(6509), 33–36.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5281/zenodo.18989736" TargetMode="External"/><Relationship Id="rId7" Type="http://schemas.openxmlformats.org/officeDocument/2006/relationships/hyperlink" Target="https://doi.org/10.5281/zenodo.18989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