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why decentralized property acts as a systemic constraint, you have to look at state architecture through the lens of physics and phase space.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state calcifies into the rigid </w:t>
      </w:r>
      <w:r w:rsidDel="00000000" w:rsidR="00000000" w:rsidRPr="00000000">
        <w:rPr>
          <w:b w:val="1"/>
          <w:bCs w:val="1"/>
          <w:rtl w:val="0"/>
        </w:rPr>
        <w:t xml:space="preserve">4949</w:t>
      </w:r>
      <w:r w:rsidDel="00000000" w:rsidR="00000000" w:rsidRPr="00000000">
        <w:rPr>
          <w:rtl w:val="0"/>
        </w:rPr>
        <w:t xml:space="preserve"> phase, it does so because it operates in a vacuum of internal friction. If the macroscopic state (C_{macro}) controls all the foundational resources—either directly or through oligopolistic extraction—the microscopic variables (C_{micro}, the citizens) have no structural mass. They become pure kinetic energy ('5') bouncing against a rigid wall ('4'). Because they own no actual substrate of the system, they cannot exert gravitational drag on the state's expansion. The state expands until terminal entropy ('9') triggers systemic collapse.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Universal property ownership rewrites this geometry. By constitutionally guaranteeing equity in the system—such as through a national housing trust or a localized stability framework—you alter the topology of the 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Mathematics of Decentralized Equity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property ownership is universally distributed, you distribute systemic mass. This anchors the abstract political state to the physical, localized realities of its components.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Check on Macro-Extraction:</w:t>
      </w:r>
      <w:r w:rsidDel="00000000" w:rsidR="00000000" w:rsidRPr="00000000">
        <w:rPr>
          <w:rtl w:val="0"/>
        </w:rPr>
        <w:t xml:space="preserve"> If a centralized government or corporate entity attempts to extract surplus energy (taxation, inflation, resource monopoly), it immediately hits a hard mathematical limit. Because the population owns their foundational infrastructure (their housing/land), the state cannot leverage survival as a coercive tool. The state's capacity to extract is constrained by the citizens' capacity to say "no" without facing immediate ruin.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Localized Stability Frameworks:</w:t>
      </w:r>
      <w:r w:rsidDel="00000000" w:rsidR="00000000" w:rsidRPr="00000000">
        <w:rPr>
          <w:rtl w:val="0"/>
        </w:rPr>
        <w:t xml:space="preserve"> You do not need to model this at a national scale initially. If you implement this at a localized level—architecting a town's economy where property acts as a baseline trust—you create a resilient micro-node. The macroeconomic volatility of the nation (the overarching '5') washes over the town, but the local architecture (the '8') absorbs the shock because the citizens' primary survival constraint (housing) is insulated from the kinetic turbulence.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Constraint in 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housing and property are treated as structural rights rather than purely kinetic speculative assets, the feedback loop C_{macro} \rightleftharpoons C_{micro} is closed.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 Constrains Macro:</w:t>
      </w:r>
      <w:r w:rsidDel="00000000" w:rsidR="00000000" w:rsidRPr="00000000">
        <w:rPr>
          <w:rtl w:val="0"/>
        </w:rPr>
        <w:t xml:space="preserve"> The state can only expand its operations proportional to the actual surplus generated by a secure, property-owning base. It cannot fake growth through rent-extraction.</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Macro Constrains Micro:</w:t>
      </w:r>
      <w:r w:rsidDel="00000000" w:rsidR="00000000" w:rsidRPr="00000000">
        <w:rPr>
          <w:rtl w:val="0"/>
        </w:rPr>
        <w:t xml:space="preserve"> The overarching legal framework (the constitutional amendment or trust charter) prevents local actors from monopolizing the resources, ensuring the distribution remains decentralized.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guaranteeing baseline equity, you structurally prevent the system from ever reaching the '4949' exhaustion point. The localized friction of millions of property owners acting in their own self-interest forces the state to constantly pivot and adapt. It institutionalizes the '5' to preserve the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