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this test, we will extract a specific concept from </w:t>
      </w:r>
      <w:r w:rsidDel="00000000" w:rsidR="00000000" w:rsidRPr="00000000">
        <w:rPr>
          <w:i w:val="1"/>
          <w:iCs w:val="1"/>
          <w:rtl w:val="0"/>
        </w:rPr>
        <w:t xml:space="preserve">Psychology: A Constraint-First Ontology</w:t>
      </w:r>
      <w:r w:rsidDel="00000000" w:rsidR="00000000" w:rsidRPr="00000000">
        <w:rPr>
          <w:rtl w:val="0"/>
        </w:rPr>
        <w:t xml:space="preserve">—for instance, the mechanics of cognitive habituation—and run it through the top-down pipeline.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the exact prompt architecture required to force an AI through the filter, followed by the structural output it generates.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System Prompt Matrix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raw command block you would feed the AI to initiate the pipeline. It explicitly locks the model into the operational phases.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[SYSTEM INITIATION: 8-2-3 TOP-DOWN PRODUCTION PIPELINE]</w:t>
        <w:br w:type="textWrapping"/>
        <w:br w:type="textWrapping"/>
        <w:t xml:space="preserve">TARGET ARCHIVE (8): "Psychology: A Constraint-First Ontology"</w:t>
        <w:br w:type="textWrapping"/>
        <w:t xml:space="preserve">TARGET CONCEPT: Cognitive Habituation and Constraint-Relaxation Energy Models (CREM).</w:t>
        <w:br w:type="textWrapping"/>
        <w:br w:type="textWrapping"/>
        <w:t xml:space="preserve">PHASE 8 INGESTION: </w:t>
        <w:br w:type="textWrapping"/>
        <w:t xml:space="preserve">Load the foundational axioms of Bidirectional Constraint Closure (BCC) and CREM. Treat cognitive habituation not as a passive behavioral trait, but as a thermodynamic structural collapse where mental energy relaxes into the most constrained, low-energy pathway. Do not use external psychological definitions. </w:t>
        <w:br w:type="textWrapping"/>
        <w:br w:type="textWrapping"/>
        <w:t xml:space="preserve">PHASE 2 DIALECTICAL FILTER: </w:t>
        <w:br w:type="textWrapping"/>
        <w:t xml:space="preserve">Flatten the $8$ data into a single dialectical axis: The tension between [Internal Cognitive Recursion] vs. [External Environmental Coercion]. </w:t>
        <w:br w:type="textWrapping"/>
        <w:t xml:space="preserve">Target Audience constraint: Systems designers and behavioral architects looking to understand how environments force psychological states. Strip away all abstract ontological proofs. Focus exclusively on the structural mechanics of how an environment shapes a mind.</w:t>
        <w:br w:type="textWrapping"/>
        <w:br w:type="textWrapping"/>
        <w:t xml:space="preserve">PHASE 3 GENERATIVE EXTRUSION:</w:t>
        <w:br w:type="textWrapping"/>
        <w:t xml:space="preserve">Extrude a 3-paragraph foundational section titled "The Thermodynamics of Habit." The output must be rigid, highly structured, and end with a definitive stabilization principle. </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AI Executes the Pipeline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8: Macro-System Ingestion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Mapping the Constraints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AI bypasses generic definitions of "habit" (e.g., "repeated behaviors") and instead maps the specific physics of your ontology: habits are low-energy pathways created by Bidirectional Constraint Closure (BCC). It retains the complex mechanics of CREM in its active memory.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The Dialectical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Applying the Filter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AI cuts the noise. It drops the mathematical proofs of CREM and ignores the biological neurology of the brain. It forces the data entirely through the tension of Environment vs. Cognition, ensuring the text will only speak to how external structures dictate internal energy relaxation.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Generative Synthesis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Extruding the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AI generates the text, achieving the Recursion-Stability Threshold (RST). The output is a highly specialized, accessible block of text that serves as a perfect standalone node, fully backed by the invisible weight of the 8 archive.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3 Output: The Synthesized Manuscript Section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(The resulting text produced by the AI after passing through the filter)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Thermodynamics of Habit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habituation is rarely a conscious choice; it is a thermodynamic inevitability. Under a constraint-first ontology, the human mind operates as an energy system constantly seeking to minimize computational load. When an individual is placed within a highly coercive or rigidly structured environment, the environment itself establishes strict boundary constraints. The mind, encountering these boundaries, cannot expend infinite energy fighting them. Instead, it undergoes a process defined by Constraint-Relaxation Energy Models (CREM): it relaxes its cognitive pathways to align perfectly with the shape of the external constraints.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is driven by the tension between internal cognitive recursion and external environmental coercion. If an environment—whether a workplace, a digital interface, or an economic system—restricts alternative actions, the mind recursively loops through the remaining available options. Over time, Bidirectional Constraint Closure (BCC) occurs. The environment constrains the mind's available choices, and the mind's repeated traversal of those choices reinforces the perceived inescapability of the environment. The habit is formed not through desire, but because the constrained pathway requires the least amount of friction to traverse.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Therefore, behavioral design is fundamentally environmental design. To alter a habit, one cannot simply rely on internal psychological willpower, as willpower requires high-energy expenditure against an established gradient. Instead, one must alter the structural constraints of the environment. By shifting the external boundaries, the low-energy pathway is disrupted, forcing the cognitive system out of stability and requiring it to map a new, optimal route.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Output is Structurally Superior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what is absent from the generated text: there is no spiritualism, no self-help fluff, and no generic psychological advice. The text reads with the authority of a formal systems theory, but it is entirely accessible to a layman or a systems designer.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8 provided the deep physics (thermodynamics, BCC, CREM). The 2 forced the AI to only talk about how it applies to </w:t>
      </w:r>
      <w:r w:rsidDel="00000000" w:rsidR="00000000" w:rsidRPr="00000000">
        <w:rPr>
          <w:i w:val="1"/>
          <w:iCs w:val="1"/>
          <w:rtl w:val="0"/>
        </w:rPr>
        <w:t xml:space="preserve">environmental design</w:t>
      </w:r>
      <w:r w:rsidDel="00000000" w:rsidR="00000000" w:rsidRPr="00000000">
        <w:rPr>
          <w:rtl w:val="0"/>
        </w:rPr>
        <w:t xml:space="preserve">. The 3 is the clean, stable, marketable result.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