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National Housing Trust (NHT) – Framework Overview</w:t>
      </w:r>
    </w:p>
    <w:p>
      <w:pPr>
        <w:pStyle w:val="Heading1"/>
      </w:pPr>
      <w:r>
        <w:t>Purpose</w:t>
      </w:r>
    </w:p>
    <w:p>
      <w:r>
        <w:t>The National Housing Trust is a hybrid federal–state initiative designed to guarantee every adult citizen access to a dwelling and a commercial property, while balancing market stability, individual freedom, and collective responsibility.</w:t>
      </w:r>
    </w:p>
    <w:p>
      <w:pPr>
        <w:pStyle w:val="Heading1"/>
      </w:pPr>
      <w:r>
        <w:t>Core Principles</w:t>
      </w:r>
    </w:p>
    <w:p>
      <w:r>
        <w:t>• One dwelling and one commercial property per adult citizen.</w:t>
        <w:br/>
        <w:t>• Hybrid model: federal funding, state-level implementation.</w:t>
        <w:br/>
        <w:t>• Long-term stability, avoiding speculative abuse or deliberate destruction.</w:t>
        <w:br/>
        <w:t>• Transparency, oversight, and accountability to Congress and the public.</w:t>
      </w:r>
    </w:p>
    <w:p>
      <w:pPr>
        <w:pStyle w:val="Heading1"/>
      </w:pPr>
      <w:r>
        <w:t>Administration</w:t>
      </w:r>
    </w:p>
    <w:p>
      <w:r>
        <w:t>• Federal: Establishes National Housing Trust under executive branch.</w:t>
        <w:br/>
        <w:t>• States: Manage local implementation, property assignment, and maintenance.</w:t>
        <w:br/>
        <w:t>• Congress: Approves funding sources and exercises oversight.</w:t>
      </w:r>
    </w:p>
    <w:p>
      <w:pPr>
        <w:pStyle w:val="Heading1"/>
      </w:pPr>
      <w:r>
        <w:t>Funding Sources</w:t>
      </w:r>
    </w:p>
    <w:p>
      <w:r>
        <w:t>• Federal appropriations from general revenue.</w:t>
        <w:br/>
        <w:t>• Dedicated trust fund seeded by a small percentage of land-use taxes, estate taxes, and unused federal land sales.</w:t>
        <w:br/>
        <w:t>• Option for voluntary citizen contributions or state-matched funds.</w:t>
      </w:r>
    </w:p>
    <w:p>
      <w:pPr>
        <w:pStyle w:val="Heading1"/>
      </w:pPr>
      <w:r>
        <w:t>Safeguards Against Abuse</w:t>
      </w:r>
    </w:p>
    <w:p>
      <w:r>
        <w:t>• Regular property audits.</w:t>
        <w:br/>
        <w:t>• Severe penalties for intentional destruction of property.</w:t>
        <w:br/>
        <w:t>• Repair-first model: replacements only after thorough assessment.</w:t>
        <w:br/>
        <w:t>• Community-driven design to reduce perverse incentives.</w:t>
      </w:r>
    </w:p>
    <w:p>
      <w:pPr>
        <w:pStyle w:val="Heading1"/>
      </w:pPr>
      <w:r>
        <w:t>Oversight</w:t>
      </w:r>
    </w:p>
    <w:p>
      <w:r>
        <w:t>• Independent Inspector General for Housing Trust.</w:t>
        <w:br/>
        <w:t>• Annual report to Congress and the states.</w:t>
        <w:br/>
        <w:t>• Citizen advisory boards at the state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