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National Housing Transition Blueprint</w:t>
      </w:r>
    </w:p>
    <w:p>
      <w:pPr>
        <w:pStyle w:val="IntenseQuote"/>
      </w:pPr>
      <w:r>
        <w:t>A Constitutional Framework for the Security of Liberty and Property in the 21st Century</w:t>
      </w:r>
    </w:p>
    <w:p>
      <w:r>
        <w:t>Authored by Nickolas Patrick Joseph Schoff</w:t>
        <w:br/>
        <w:t>Presented by The Divine Inheritance Project</w:t>
        <w:br/>
        <w:br/>
        <w:t>Dedicated to the citizens of the Republic, in pursuit of liberty and dignity for all.</w:t>
      </w:r>
    </w:p>
    <w:p>
      <w:r>
        <w:br w:type="page"/>
      </w:r>
    </w:p>
    <w:p>
      <w:pPr>
        <w:pStyle w:val="Heading2"/>
      </w:pPr>
      <w:r>
        <w:t>I. Executive Summary</w:t>
      </w:r>
    </w:p>
    <w:p>
      <w:r>
        <w:t>The National Housing Transition Blueprint establishes a constitutional path to secure the right of every citizen to housing and enterprise while preserving market freedom. This document outlines a 25-year phased transition to the National Housing Trust (NHT) system, ensuring liberty through security and stability through justice.</w:t>
      </w:r>
    </w:p>
    <w:p>
      <w:pPr>
        <w:pStyle w:val="Heading2"/>
      </w:pPr>
      <w:r>
        <w:t>II. Context and Rationale</w:t>
      </w:r>
    </w:p>
    <w:p>
      <w:r>
        <w:t>Rooted in the American tradition of property as liberty, the NHT responds to the moral and economic failures of speculative markets. It seeks to restore dignity, self-reliance, and balance between individual ambition and the common good.</w:t>
      </w:r>
    </w:p>
    <w:p>
      <w:pPr>
        <w:pStyle w:val="Heading2"/>
      </w:pPr>
      <w:r>
        <w:t>III. Framework of the National Housing Trust</w:t>
      </w:r>
    </w:p>
    <w:p>
      <w:r>
        <w:t>The NHT is a federal–state hybrid institution guaranteeing each adult citizen one dwelling and one commercial property. It maintains enterprise freedom above the baseline, with progressive taxation on excess ownership funding the trust for collective benefit. Oversight is maintained through transparent audits, state management, and federal accountability.</w:t>
      </w:r>
    </w:p>
    <w:p>
      <w:pPr>
        <w:pStyle w:val="Heading2"/>
      </w:pPr>
      <w:r>
        <w:t>IV. Transitional Architecture (Years 1–25)</w:t>
      </w:r>
    </w:p>
    <w:p>
      <w:r>
        <w:t>This section describes the four transitional phases required to fully integrate the NHT into national governance, fiscal policy, and civic life.</w:t>
      </w:r>
    </w:p>
    <w:p>
      <w:r>
        <w:t>• Phase 1: Legal &amp; Institutional Preparation (Years 1–3)</w:t>
        <w:br/>
        <w:t>• Phase 2: Gradual Market Integration (Years 3–8)</w:t>
        <w:br/>
        <w:t>• Phase 3: Stabilization &amp; Expansion (Years 8–15)</w:t>
        <w:br/>
        <w:t>• Phase 4: Full Integration &amp; Optimization (Years 15–25)</w:t>
      </w:r>
    </w:p>
    <w:p>
      <w:pPr>
        <w:pStyle w:val="Heading2"/>
      </w:pPr>
      <w:r>
        <w:t>V. Economic &amp; Fiscal Modeling</w:t>
      </w:r>
    </w:p>
    <w:p>
      <w:r>
        <w:t>The NHT operates through a self-sustaining trust fund model, seeded by fair taxation and reinvested public revenues. Over time, it reduces welfare costs, stabilizes property values, and enhances national productivity.</w:t>
      </w:r>
    </w:p>
    <w:p>
      <w:pPr>
        <w:pStyle w:val="Heading2"/>
      </w:pPr>
      <w:r>
        <w:t>VI. Political and Social Strategy</w:t>
      </w:r>
    </w:p>
    <w:p>
      <w:r>
        <w:t>The NHT advances bipartisan unity by merging Federalist principles of liberty with Anti-Federalist concerns for local sovereignty. Public education, transparency, and cooperative state participation build long-term legitimacy.</w:t>
      </w:r>
    </w:p>
    <w:p>
      <w:pPr>
        <w:pStyle w:val="Heading2"/>
      </w:pPr>
      <w:r>
        <w:t>VII. Oversight and Safeguards</w:t>
      </w:r>
    </w:p>
    <w:p>
      <w:r>
        <w:t>Independent Inspector General oversight, public dashboards, and citizen advisory boards ensure accountability, preventing misuse of trust resources and preserving constitutional integrity.</w:t>
      </w:r>
    </w:p>
    <w:p>
      <w:pPr>
        <w:pStyle w:val="Heading2"/>
      </w:pPr>
      <w:r>
        <w:t>VIII. Closing: The Republic Reaffirmed</w:t>
      </w:r>
    </w:p>
    <w:p>
      <w:r>
        <w:t>The NHT fulfills the constitutional promise of liberty through security. When every citizen stands upon their own soil, secure in home and enterprise, the Republic is renewed in both spirit and foundation.</w:t>
      </w:r>
    </w:p>
    <w:p>
      <w:r>
        <w:br w:type="page"/>
      </w:r>
    </w:p>
    <w:p>
      <w:pPr>
        <w:pStyle w:val="Heading2"/>
      </w:pPr>
      <w:r>
        <w:t>Appendices</w:t>
      </w:r>
    </w:p>
    <w:p>
      <w:r>
        <w:t>A. Text of the National Housing Trust Amendment</w:t>
        <w:br/>
        <w:t>B. Framework Overview</w:t>
        <w:br/>
        <w:t>C. Transition Phase Summaries</w:t>
        <w:br/>
        <w:t>D. Fiscal and Economic Charts</w:t>
        <w:br/>
        <w:t>E. References and Legal Notes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