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T</w:t>
      </w:r>
      <w:r>
        <w:rPr>
          <w:rFonts w:ascii="Arial" w:hAnsi="Arial" w:cs="Arial" w:eastAsia="Arial"/>
          <w:b w:val="true"/>
          <w:sz w:val="54"/>
        </w:rPr>
        <w:t>itle</w:t>
      </w:r>
      <w:r>
        <w:rPr>
          <w:rFonts w:ascii="Arial" w:hAnsi="Arial" w:cs="Arial" w:eastAsia="Arial"/>
          <w:sz w:val="54"/>
        </w:rPr>
        <w:t>: The Subterranean Baseline: A Synthesis of Antediluvian Sovereignty and the Architecture of Jurisdictional Capture</w:t>
      </w:r>
    </w:p>
    <w:p>
      <w:pPr>
        <w:spacing w:line="240" w:lineRule="auto" w:after="0" w:before="0"/>
        <w:ind w:right="0" w:left="0"/>
      </w:pPr>
      <w:r>
        <w:rPr>
          <w:rFonts w:ascii="Arial" w:hAnsi="Arial" w:cs="Arial" w:eastAsia="Arial"/>
          <w:b w:val="true"/>
          <w:sz w:val="54"/>
        </w:rPr>
        <w:t>Abstract</w:t>
      </w:r>
    </w:p>
    <w:p>
      <w:pPr>
        <w:spacing w:line="240" w:lineRule="auto" w:after="0" w:before="0"/>
        <w:ind w:right="0" w:left="0"/>
      </w:pPr>
      <w:r>
        <w:rPr>
          <w:rFonts w:ascii="Arial" w:hAnsi="Arial" w:cs="Arial" w:eastAsia="Arial"/>
          <w:sz w:val="54"/>
        </w:rPr>
        <w:t xml:space="preserve">This paper synthesizes a multidisciplinary framework linking the archaeological anomalies of the American Northeast, the linguistic commonalities of "Anu"-based cultures, and the hypothesis of a persistent subterranean residency for the survivors of a global antediluvian civilization. It posits that the "First World" (Atlantis/Aztlán) did not entirely collapse but underwent a phase transition into the lithosphere to survive a surface cataclysm. This transition necessitated the creation of the "Hell" deterrent protocol and the implementation of the Doctrine of Discovery to ensure surface populations remained disconnected from their high-order legacy. The study concludes that modern administrative structures function as a "jurisdictional firewall" designed to maintain this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systemic partition.</w:t>
      </w:r>
    </w:p>
    <w:p>
      <w:pPr>
        <w:spacing w:line="240" w:lineRule="auto" w:after="0" w:before="0"/>
        <w:ind w:right="0" w:left="0"/>
      </w:pPr>
      <w:r>
        <w:rPr>
          <w:rFonts w:ascii="Arial" w:hAnsi="Arial" w:cs="Arial" w:eastAsia="Arial"/>
          <w:b w:val="true"/>
          <w:sz w:val="54"/>
        </w:rPr>
        <w:t>Introduction</w:t>
      </w:r>
    </w:p>
    <w:p>
      <w:pPr>
        <w:spacing w:line="240" w:lineRule="auto" w:after="0" w:before="0"/>
        <w:ind w:right="0" w:left="0"/>
      </w:pPr>
      <w:r>
        <w:rPr>
          <w:rFonts w:ascii="Arial" w:hAnsi="Arial" w:cs="Arial" w:eastAsia="Arial"/>
          <w:sz w:val="54"/>
        </w:rPr>
        <w:t>The historical narrative of the human species is often presented as a linear progression from primitive origins to modern complexity. However, a comparative analysis of global oral traditions and megalithic architecture suggests a "Recursive History" characterized by a sophisticated predecessor civilization. This paper explores the "Subterranean Baseline" hypothesis: the theory that the ruling and engineering classes of the Atlantic civilization established permanent residency in deep-earth environments, from which they have managed surface populations through a series of administrative and psychological "Scripts."</w:t>
      </w:r>
    </w:p>
    <w:p>
      <w:pPr>
        <w:spacing w:line="240" w:lineRule="auto" w:after="0" w:before="0"/>
        <w:ind w:right="0" w:left="0"/>
      </w:pPr>
      <w:r>
        <w:rPr>
          <w:rFonts w:ascii="Arial" w:hAnsi="Arial" w:cs="Arial" w:eastAsia="Arial"/>
          <w:b w:val="true"/>
          <w:sz w:val="54"/>
        </w:rPr>
        <w:t>The "Anu" Lexicon: Evidence of a Global Administrative Grammar</w:t>
      </w:r>
    </w:p>
    <w:p>
      <w:pPr>
        <w:spacing w:line="240" w:lineRule="auto" w:after="0" w:before="0"/>
        <w:ind w:right="0" w:left="0"/>
      </w:pPr>
      <w:r>
        <w:rPr>
          <w:rFonts w:ascii="Arial" w:hAnsi="Arial" w:cs="Arial" w:eastAsia="Arial"/>
          <w:sz w:val="54"/>
        </w:rPr>
        <w:t xml:space="preserve">A primary indicator of a shared global origin is the persistence of the "Anu" phoneme across divergent cultures. In Sumerian cosmology, the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sz w:val="54"/>
        </w:rPr>
        <w:t>Annunaki</w:t>
      </w:r>
      <w:r>
        <w:rPr>
          <w:rFonts w:ascii="Arial" w:hAnsi="Arial" w:cs="Arial" w:eastAsia="Arial"/>
          <w:sz w:val="54"/>
        </w:rPr>
        <w:t xml:space="preserve"> represented the senior administrative class who descended from the sky to the earth (</w:t>
      </w:r>
      <w:r>
        <w:rPr>
          <w:rFonts w:ascii="Arial" w:hAnsi="Arial" w:cs="Arial" w:eastAsia="Arial"/>
          <w:i w:val="true"/>
          <w:sz w:val="54"/>
        </w:rPr>
        <w:t>Ki</w:t>
      </w:r>
      <w:r>
        <w:rPr>
          <w:rFonts w:ascii="Arial" w:hAnsi="Arial" w:cs="Arial" w:eastAsia="Arial"/>
          <w:sz w:val="54"/>
        </w:rPr>
        <w:t xml:space="preserve">). Simultaneously, the Hopi of the American Southwest maintain records of the </w:t>
      </w:r>
      <w:r>
        <w:rPr>
          <w:rFonts w:ascii="Arial" w:hAnsi="Arial" w:cs="Arial" w:eastAsia="Arial"/>
          <w:i w:val="true"/>
          <w:sz w:val="54"/>
        </w:rPr>
        <w:t>Anu Sinom</w:t>
      </w:r>
      <w:r>
        <w:rPr>
          <w:rFonts w:ascii="Arial" w:hAnsi="Arial" w:cs="Arial" w:eastAsia="Arial"/>
          <w:sz w:val="54"/>
        </w:rPr>
        <w:t xml:space="preserve"> (Ant People), a technological class that provided refuge to humans in underground chambers during surface destructions. In the Northeast, the </w:t>
      </w:r>
      <w:r>
        <w:rPr>
          <w:rFonts w:ascii="Arial" w:hAnsi="Arial" w:cs="Arial" w:eastAsia="Arial"/>
          <w:i w:val="true"/>
          <w:sz w:val="54"/>
        </w:rPr>
        <w:t>Wôban-aki</w:t>
      </w:r>
      <w:r>
        <w:rPr>
          <w:rFonts w:ascii="Arial" w:hAnsi="Arial" w:cs="Arial" w:eastAsia="Arial"/>
          <w:sz w:val="54"/>
        </w:rPr>
        <w:t xml:space="preserve"> (Abenaki) identify as the "People of the First Light," utilizing the same "Aki/Ki" suffix for the land.</w:t>
      </w:r>
    </w:p>
    <w:p>
      <w:pPr>
        <w:spacing w:line="240" w:lineRule="auto" w:after="0" w:before="0"/>
        <w:ind w:right="0" w:left="0"/>
      </w:pPr>
      <w:r>
        <w:rPr>
          <w:rFonts w:ascii="Arial" w:hAnsi="Arial" w:cs="Arial" w:eastAsia="Arial"/>
          <w:sz w:val="54"/>
        </w:rPr>
        <w:t>The linguistic symmetry—linking sky-origin, subterranean-residency, and dawn-orientation—suggests these were not separate "gods" but different operational branches of the same global network. The "Anu" prefix likely served as a jurisdictional marker for the original civilization’s governing and engineering protocols.</w:t>
      </w:r>
    </w:p>
    <w:p>
      <w:pPr>
        <w:spacing w:line="240" w:lineRule="auto" w:after="0" w:before="0"/>
        <w:ind w:right="0" w:left="0"/>
      </w:pPr>
      <w:r>
        <w:rPr>
          <w:rFonts w:ascii="Arial" w:hAnsi="Arial" w:cs="Arial" w:eastAsia="Arial"/>
          <w:b w:val="true"/>
          <w:sz w:val="54"/>
        </w:rPr>
        <w:t>The Ant People as the Engineering Class of the Transition</w:t>
      </w:r>
    </w:p>
    <w:p>
      <w:pPr>
        <w:spacing w:line="240" w:lineRule="auto" w:after="0" w:before="0"/>
        <w:ind w:right="0" w:left="0"/>
      </w:pPr>
      <w:r>
        <w:rPr>
          <w:rFonts w:ascii="Arial" w:hAnsi="Arial" w:cs="Arial" w:eastAsia="Arial"/>
          <w:sz w:val="54"/>
        </w:rPr>
        <w:t xml:space="preserve">While surface myths often portray "ants" or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"dwarves" as magical entities, their structural roles are identical: they are the subterranean masters of architecture and resource management. The Hopi </w:t>
      </w:r>
      <w:r>
        <w:rPr>
          <w:rFonts w:ascii="Arial" w:hAnsi="Arial" w:cs="Arial" w:eastAsia="Arial"/>
          <w:i w:val="true"/>
          <w:sz w:val="54"/>
        </w:rPr>
        <w:t>Anu Sinom</w:t>
      </w:r>
      <w:r>
        <w:rPr>
          <w:rFonts w:ascii="Arial" w:hAnsi="Arial" w:cs="Arial" w:eastAsia="Arial"/>
          <w:sz w:val="54"/>
        </w:rPr>
        <w:t xml:space="preserve"> and the Norse </w:t>
      </w:r>
      <w:r>
        <w:rPr>
          <w:rFonts w:ascii="Arial" w:hAnsi="Arial" w:cs="Arial" w:eastAsia="Arial"/>
          <w:i w:val="true"/>
          <w:sz w:val="54"/>
        </w:rPr>
        <w:t>Svartálfar</w:t>
      </w:r>
      <w:r>
        <w:rPr>
          <w:rFonts w:ascii="Arial" w:hAnsi="Arial" w:cs="Arial" w:eastAsia="Arial"/>
          <w:sz w:val="54"/>
        </w:rPr>
        <w:t xml:space="preserve"> (Dwarves) both reside in high-tech underground environments and possess the ability to manipulate matter with high-order precision.</w:t>
      </w:r>
    </w:p>
    <w:p>
      <w:pPr>
        <w:spacing w:line="240" w:lineRule="auto" w:after="0" w:before="0"/>
        <w:ind w:right="0" w:left="0"/>
      </w:pPr>
      <w:r>
        <w:rPr>
          <w:rFonts w:ascii="Arial" w:hAnsi="Arial" w:cs="Arial" w:eastAsia="Arial"/>
          <w:sz w:val="54"/>
        </w:rPr>
        <w:t>In New England, the vast network of dry-stone chambers, often aligned with celestial events, represents the "Surface Interface" for this subterranean baseline. Rather than simple storage units, these structures likely functioned as atmospheric or resonant sensor nodes for a deeper grid. This engineering class managed the "Phase Transition" of the Earth—scaling down the environment and civilizing the survivors after the Atlantic sinking.</w:t>
      </w:r>
    </w:p>
    <w:p>
      <w:pPr>
        <w:spacing w:line="240" w:lineRule="auto" w:after="0" w:before="0"/>
        <w:ind w:right="0" w:left="0"/>
      </w:pPr>
      <w:r>
        <w:rPr>
          <w:rFonts w:ascii="Arial" w:hAnsi="Arial" w:cs="Arial" w:eastAsia="Arial"/>
          <w:b w:val="true"/>
          <w:sz w:val="54"/>
        </w:rPr>
        <w:t>Hell as a Deterrent Protocol: The Psychology of the Exclusion Zone</w:t>
      </w:r>
    </w:p>
    <w:p>
      <w:pPr>
        <w:spacing w:line="240" w:lineRule="auto" w:after="0" w:before="0"/>
        <w:ind w:right="0" w:left="0"/>
      </w:pPr>
      <w:r>
        <w:rPr>
          <w:rFonts w:ascii="Arial" w:hAnsi="Arial" w:cs="Arial" w:eastAsia="Arial"/>
          <w:sz w:val="54"/>
        </w:rPr>
        <w:t xml:space="preserve">One of the most effective methods of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maintaining a "Deep-Earth Baseline" is the re-coding of the subterranean environment as a place of moral and physical horror. The archetypes of "Hell" or "Xibalba" (the Maya Underworld) serve as a psychological deterrent to prevent surface exploration.</w:t>
      </w:r>
    </w:p>
    <w:p>
      <w:pPr>
        <w:spacing w:line="240" w:lineRule="auto" w:after="0" w:before="0"/>
        <w:ind w:right="0" w:left="0"/>
      </w:pPr>
      <w:r>
        <w:rPr>
          <w:rFonts w:ascii="Arial" w:hAnsi="Arial" w:cs="Arial" w:eastAsia="Arial"/>
          <w:sz w:val="54"/>
        </w:rPr>
        <w:t>By associating the underground—a place of high-temperature geothermal energy and high-order technology—with eternal punishment and "demonic" entities, the ruling class ensured that the survivors of the "First World" would view their own ancestral technology as forbidden or evil. The "Demons" of historical record may, in fact, be the specialized technical operators of the subterranean civilization, masked by a "Religious Firewall" designed to maintain the partition between the surface "Farm" and the underground "Control Center."</w:t>
      </w:r>
    </w:p>
    <w:p>
      <w:pPr>
        <w:spacing w:line="240" w:lineRule="auto" w:after="0" w:before="0"/>
        <w:ind w:right="0" w:left="0"/>
      </w:pPr>
      <w:r>
        <w:rPr>
          <w:rFonts w:ascii="Arial" w:hAnsi="Arial" w:cs="Arial" w:eastAsia="Arial"/>
          <w:b w:val="true"/>
          <w:sz w:val="54"/>
        </w:rPr>
        <w:t>The Administrative Firewall: The Doctrine of Discovery</w:t>
      </w:r>
    </w:p>
    <w:p>
      <w:pPr>
        <w:spacing w:line="240" w:lineRule="auto" w:after="0" w:before="0"/>
        <w:ind w:right="0" w:left="0"/>
      </w:pPr>
      <w:r>
        <w:rPr>
          <w:rFonts w:ascii="Arial" w:hAnsi="Arial" w:cs="Arial" w:eastAsia="Arial"/>
          <w:sz w:val="54"/>
        </w:rPr>
        <w:t xml:space="preserve">To ensure that surface populations did not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reclaim their sovereign history, the "Administrative Layer" (represented historically by the Vatican and later by the Corporate State) implemented the Doctrine of Discovery. This legal framework was a "System Format" command that invalidated the prior rights and memories of indigenous populations. By declaring the land </w:t>
      </w:r>
      <w:r>
        <w:rPr>
          <w:rFonts w:ascii="Arial" w:hAnsi="Arial" w:cs="Arial" w:eastAsia="Arial"/>
          <w:i w:val="true"/>
          <w:sz w:val="54"/>
        </w:rPr>
        <w:t>terra nullius</w:t>
      </w:r>
      <w:r>
        <w:rPr>
          <w:rFonts w:ascii="Arial" w:hAnsi="Arial" w:cs="Arial" w:eastAsia="Arial"/>
          <w:sz w:val="54"/>
        </w:rPr>
        <w:t>, the system deleted the "Root Directory" of human memory, replacing it with a "Compliance Script" focused on debt, extraction, and labor (Miller, 2011).</w:t>
      </w:r>
    </w:p>
    <w:p>
      <w:pPr>
        <w:spacing w:line="240" w:lineRule="auto" w:after="0" w:before="0"/>
        <w:ind w:right="0" w:left="0"/>
      </w:pPr>
      <w:r>
        <w:rPr>
          <w:rFonts w:ascii="Arial" w:hAnsi="Arial" w:cs="Arial" w:eastAsia="Arial"/>
          <w:sz w:val="54"/>
        </w:rPr>
        <w:t>This administrative layer acts as the "Middleman" between the deep-earth rulers and the surface population. They manage the "Cage" of modern society, ensuring that the human "Bio-Substrate" remains productive while never realizing that the "Ground Beneath Their Feet" is actively inhabited by the original architects.</w:t>
      </w:r>
    </w:p>
    <w:p>
      <w:pPr>
        <w:spacing w:line="240" w:lineRule="auto" w:after="0" w:before="0"/>
        <w:ind w:right="0" w:left="0"/>
      </w:pPr>
      <w:r>
        <w:rPr>
          <w:rFonts w:ascii="Arial" w:hAnsi="Arial" w:cs="Arial" w:eastAsia="Arial"/>
          <w:b w:val="true"/>
          <w:sz w:val="54"/>
        </w:rPr>
        <w:t>Conclusion: The Reclaimation of the Sovereign Curriculum</w:t>
      </w:r>
    </w:p>
    <w:p>
      <w:pPr>
        <w:spacing w:line="240" w:lineRule="auto" w:after="0" w:before="0"/>
        <w:ind w:right="0" w:left="0"/>
      </w:pPr>
      <w:r>
        <w:rPr>
          <w:rFonts w:ascii="Arial" w:hAnsi="Arial" w:cs="Arial" w:eastAsia="Arial"/>
          <w:sz w:val="54"/>
        </w:rPr>
        <w:t xml:space="preserve">The synthesis of these elements suggests that the "Lost Civilization" was never truly lost; it was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merely sequestered. The current "Modern Slavery" observed in global social structures is the result of a deliberate disconnection from the "Universal Grammar" of reality. To bypass the "Hell" deterrent and the "Discovery" firewall, it is necessary to develop a "Sovereign Curriculum"—one that recognizes the archaeological, linguistic, and spiritual patterns of the past as active components of a present-day struggle for autonomy.</w:t>
      </w:r>
    </w:p>
    <w:p>
      <w:pPr>
        <w:spacing w:line="240" w:lineRule="auto" w:after="0" w:before="0"/>
        <w:ind w:right="0" w:left="0"/>
      </w:pPr>
      <w:r>
        <w:rPr>
          <w:rFonts w:ascii="Arial" w:hAnsi="Arial" w:cs="Arial" w:eastAsia="Arial"/>
          <w:b w:val="true"/>
          <w:sz w:val="54"/>
        </w:rPr>
        <w:t>References</w:t>
      </w:r>
    </w:p>
    <w:p>
      <w:pPr>
        <w:spacing w:line="240" w:lineRule="auto" w:after="0" w:before="0"/>
        <w:ind w:right="0" w:left="0"/>
      </w:pPr>
      <w:r>
        <w:rPr>
          <w:rFonts w:ascii="Arial" w:hAnsi="Arial" w:cs="Arial" w:eastAsia="Arial"/>
          <w:sz w:val="54"/>
        </w:rPr>
        <w:t xml:space="preserve">Miller, R. J. (2011). </w:t>
      </w:r>
      <w:r>
        <w:rPr>
          <w:rFonts w:ascii="Arial" w:hAnsi="Arial" w:cs="Arial" w:eastAsia="Arial"/>
          <w:i w:val="true"/>
          <w:sz w:val="54"/>
        </w:rPr>
        <w:t>The Doctrine of Discovery: The International Law of Colonialism</w:t>
      </w:r>
      <w:r>
        <w:rPr>
          <w:rFonts w:ascii="Arial" w:hAnsi="Arial" w:cs="Arial" w:eastAsia="Arial"/>
          <w:sz w:val="54"/>
        </w:rPr>
        <w:t>. Lewis &amp; Clark Law Review.</w:t>
      </w:r>
    </w:p>
    <w:p>
      <w:pPr>
        <w:spacing w:line="240" w:lineRule="auto" w:after="0" w:before="0"/>
        <w:ind w:right="0" w:left="0"/>
      </w:pPr>
      <w:r>
        <w:rPr>
          <w:rFonts w:ascii="Arial" w:hAnsi="Arial" w:cs="Arial" w:eastAsia="Arial"/>
          <w:sz w:val="54"/>
        </w:rPr>
        <w:t xml:space="preserve">Nicolar, J. (1893). </w:t>
      </w:r>
      <w:r>
        <w:rPr>
          <w:rFonts w:ascii="Arial" w:hAnsi="Arial" w:cs="Arial" w:eastAsia="Arial"/>
          <w:i w:val="true"/>
          <w:sz w:val="54"/>
        </w:rPr>
        <w:t>The Life and Traditions of the Red Man</w:t>
      </w:r>
      <w:r>
        <w:rPr>
          <w:rFonts w:ascii="Arial" w:hAnsi="Arial" w:cs="Arial" w:eastAsia="Arial"/>
          <w:sz w:val="54"/>
        </w:rPr>
        <w:t>. C.H. Glass &amp; Co.</w:t>
      </w:r>
    </w:p>
    <w:p>
      <w:pPr>
        <w:spacing w:line="240" w:lineRule="auto" w:after="0" w:before="0"/>
        <w:ind w:right="0" w:left="0"/>
      </w:pPr>
      <w:r>
        <w:rPr>
          <w:rFonts w:ascii="Arial" w:hAnsi="Arial" w:cs="Arial" w:eastAsia="Arial"/>
          <w:sz w:val="54"/>
        </w:rPr>
        <w:t xml:space="preserve">Sanger, D. (1973). </w:t>
      </w:r>
      <w:r>
        <w:rPr>
          <w:rFonts w:ascii="Arial" w:hAnsi="Arial" w:cs="Arial" w:eastAsia="Arial"/>
          <w:i w:val="true"/>
          <w:sz w:val="54"/>
        </w:rPr>
        <w:t>Cow Point: An Archaic Cemetery in New Brunswick</w:t>
      </w:r>
      <w:r>
        <w:rPr>
          <w:rFonts w:ascii="Arial" w:hAnsi="Arial" w:cs="Arial" w:eastAsia="Arial"/>
          <w:sz w:val="54"/>
        </w:rPr>
        <w:t>. National Museum of Man.</w:t>
      </w:r>
    </w:p>
    <w:p>
      <w:pPr>
        <w:spacing w:line="240" w:lineRule="auto" w:after="0" w:before="0"/>
        <w:ind w:right="0" w:left="0"/>
      </w:pPr>
      <w:r>
        <w:rPr>
          <w:rFonts w:ascii="Arial" w:hAnsi="Arial" w:cs="Arial" w:eastAsia="Arial"/>
          <w:sz w:val="54"/>
        </w:rPr>
        <w:t xml:space="preserve">Tedlock, D. (1985). </w:t>
      </w:r>
      <w:r>
        <w:rPr>
          <w:rFonts w:ascii="Arial" w:hAnsi="Arial" w:cs="Arial" w:eastAsia="Arial"/>
          <w:i w:val="true"/>
          <w:sz w:val="54"/>
        </w:rPr>
        <w:t>Popol Vuh: The Mayan Book of the Dawn of Life</w:t>
      </w:r>
      <w:r>
        <w:rPr>
          <w:rFonts w:ascii="Arial" w:hAnsi="Arial" w:cs="Arial" w:eastAsia="Arial"/>
          <w:sz w:val="54"/>
        </w:rPr>
        <w:t>. Simon &amp; Schuster.</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Waters, F. (1963). </w:t>
      </w:r>
      <w:r>
        <w:rPr>
          <w:rFonts w:ascii="Arial" w:hAnsi="Arial" w:cs="Arial" w:eastAsia="Arial"/>
          <w:i w:val="true"/>
          <w:sz w:val="54"/>
        </w:rPr>
        <w:t>Book of the Hopi</w:t>
      </w:r>
      <w:r>
        <w:rPr>
          <w:rFonts w:ascii="Arial" w:hAnsi="Arial" w:cs="Arial" w:eastAsia="Arial"/>
          <w:sz w:val="54"/>
        </w:rPr>
        <w:t>. Viking Press.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2026-05-10T13:08:28Z</dcterms:created>
  <dc:creator>Apache POI</dc:creator>
</cp:coreProperties>
</file>