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Thermodynamic Consolidation of Memory: Recontextualizing Dementia and Neuro-Calcification as a Structural Phase-Change Driven by Chronic Traumatic Attractors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12,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extends Constraint Topology Medicine (CTM) and the Dimension-W projector model to the pathophysiology of neurodegenerative dementias (e.g., Alzheimer’s disease). We hypothesize that amyloid-β (Aβ) plaques, tau neurofibrillary tangles, and macro-molecular neuro-calcification are not the primary etiologies of cognitive decline, but are downstream, localized thermodynamic "freezing" events. When an organism is subjected to severe, unresolved psychological trauma or Chronic Post-Traumatic Stress Disorder (PTSD), the nervous system locks into high-precision, hyper-vigilant survival priors. This chronic sympathetic state overactivates the voltage-gated calcium channels (VGCCs), driving a pathological intracellular calcium cascade. To prevent catastrophic cellular excitotoxicity from this un-gated electromagnetic static, the brain undergoes a structural phase-change, precipitating calcium and misfolded proteins into rigid, low-entropy blocks. This localized ossification mirrors the mechanics of pineal calcification. Ultimately, dementia-driven amnesia is reframed not as the deletion of information, but as the physical destruction of the neural lattice's piezoelectric tensegrity, permanently disabling the hardware required to reconstruct the frequency coordinates of past histories from Dimension-W.</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Biophysics of Neuro-Calcification: Plaque as a Structural Buffer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contemporary neurology, Alzheimer’s disease and related dementias are conventionally blamed on the idiopathic accumulation of amyloid-β plaques and hyperphosphorylated tau proteins. However, clinical trials consistently demonstrate that clearing these plaques fails to restore cognitive function. Within the framework of Constraint Topology Medicine (CTM), these aggregations represent a desperate structural buffering mechanism—a localized phase-change executed by the brain to ground out runaway thermodynamic entropy.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phenomenon is deeply tied to the </w:t>
      </w:r>
      <w:r w:rsidDel="00000000" w:rsidR="00000000" w:rsidRPr="00000000">
        <w:rPr>
          <w:b w:val="1"/>
          <w:bCs w:val="1"/>
          <w:rtl w:val="0"/>
        </w:rPr>
        <w:t xml:space="preserve">Calcium Hypothesis of Brain Aging and Alzheimer's Disease</w:t>
      </w:r>
      <w:r w:rsidDel="00000000" w:rsidR="00000000" w:rsidRPr="00000000">
        <w:rPr>
          <w:rtl w:val="0"/>
        </w:rPr>
        <w:t xml:space="preserve"> (Khachaturian, 1994). Under optimal conditions, cell membranes maintain a strict electromagnetic gradient. However, when the biological boundary conditions collapse (C- disruption), homeostasis fails.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Calcium Influx Kinetic:</w:t>
      </w:r>
      <w:r w:rsidDel="00000000" w:rsidR="00000000" w:rsidRPr="00000000">
        <w:rPr>
          <w:rtl w:val="0"/>
        </w:rPr>
        <w:t xml:space="preserve"> Chronic metabolic stress and environmental neurotoxins (e.g., glyphosate, heavy metals) compromise the blood-brain barrier and destabilize mitochondrial ATP production. Depleted of energy, cells can no longer operate the energy-dependent pumps required to extrude intracellular calcium (Ca^{2+}).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Hydrostatic Phase-Change:</w:t>
      </w:r>
      <w:r w:rsidDel="00000000" w:rsidR="00000000" w:rsidRPr="00000000">
        <w:rPr>
          <w:rtl w:val="0"/>
        </w:rPr>
        <w:t xml:space="preserve"> As intracellular calcium floods the cytoplasm, it shatters the highly structured, coherent Exclusion Zone (EZ) water scaffolding that maintains protein geometry (Pollack, 2013). Stripped of their aqueous matrix, proteins structurally collapse and misfold.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Solidification Protocol:</w:t>
      </w:r>
      <w:r w:rsidDel="00000000" w:rsidR="00000000" w:rsidRPr="00000000">
        <w:rPr>
          <w:rtl w:val="0"/>
        </w:rPr>
        <w:t xml:space="preserve"> To prevent immediate, widespread cellular necrosis from this calcium-driven excitotoxicity, the brain precipitates calcium ions out of solution, fusing them with the misfolded amyloid-β proteins.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Just as pathologically retained fluoride and heavy metals cause the calcite microcrystals of the pineal gland to fuse into a rigid, non-piezoelectric block, the cerebral cortex undergoes a micro-ossification process. The plaque is the physical ash of an unmitigated electromagnetic fire. It is the structural solidification of a living matrix into an inert, rigid bone-like state.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Trauma-Dementia Axis: PTSD as a Hyper-Metabolic Attractor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intuition that this calcification effect is directly related to the severity of trauma and PTSD is profoundly accurate and supported by epidemiological data linking chronic PTSD to a doubled risk of developing dementia later in life (Yaffe et al., 2010). We can formalize this connection through the lens of </w:t>
      </w:r>
      <w:r w:rsidDel="00000000" w:rsidR="00000000" w:rsidRPr="00000000">
        <w:rPr>
          <w:b w:val="1"/>
          <w:bCs w:val="1"/>
          <w:rtl w:val="0"/>
        </w:rPr>
        <w:t xml:space="preserve">Predictive Processing</w:t>
      </w:r>
      <w:r w:rsidDel="00000000" w:rsidR="00000000" w:rsidRPr="00000000">
        <w:rPr>
          <w:rtl w:val="0"/>
        </w:rPr>
        <w:t xml:space="preserve"> and </w:t>
      </w:r>
      <w:r w:rsidDel="00000000" w:rsidR="00000000" w:rsidRPr="00000000">
        <w:rPr>
          <w:b w:val="1"/>
          <w:bCs w:val="1"/>
          <w:rtl w:val="0"/>
        </w:rPr>
        <w:t xml:space="preserve">Bidirectional Constraint Closure (BCC)</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prior formulation of psychiatric topologies (</w:t>
      </w:r>
      <w:r w:rsidDel="00000000" w:rsidR="00000000" w:rsidRPr="00000000">
        <w:rPr>
          <w:i w:val="1"/>
          <w:iCs w:val="1"/>
          <w:rtl w:val="0"/>
        </w:rPr>
        <w:t xml:space="preserve">PsychiatricFusion.pdf</w:t>
      </w:r>
      <w:r w:rsidDel="00000000" w:rsidR="00000000" w:rsidRPr="00000000">
        <w:rPr>
          <w:rtl w:val="0"/>
        </w:rPr>
        <w:t xml:space="preserve">), trauma is defined as an event that instantiates an ultra-high-precision survival prior. The brain’s predictive architecture determines that the environment is permanently hostile.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[Severe Psychological Trauma / PTSD]</w:t>
        <w:br w:type="textWrapping"/>
        <w:t xml:space="preserve">                 │</w:t>
        <w:br w:type="textWrapping"/>
        <w:t xml:space="preserve">                 ▼</w:t>
        <w:br w:type="textWrapping"/>
        <w:t xml:space="preserve">[Hyper-Precise Survival Priors (Unmitigated Prediction Errors)]</w:t>
        <w:br w:type="textWrapping"/>
        <w:t xml:space="preserve">                 │</w:t>
        <w:br w:type="textWrapping"/>
        <w:t xml:space="preserve">                 ▼</w:t>
        <w:br w:type="textWrapping"/>
        <w:t xml:space="preserve">[Continuous Sympathetic Activation / Cholinergic Brake Failure]</w:t>
        <w:br w:type="textWrapping"/>
        <w:t xml:space="preserve">                 │</w:t>
        <w:br w:type="textWrapping"/>
        <w:t xml:space="preserve">                 ▼</w:t>
        <w:br w:type="textWrapping"/>
        <w:t xml:space="preserve">[Chronic Intracellular Calcium Influx (VGCC Overdrive)]</w:t>
        <w:br w:type="textWrapping"/>
        <w:t xml:space="preserve">                 │</w:t>
        <w:br w:type="textWrapping"/>
        <w:t xml:space="preserve">                 ▼</w:t>
        <w:br w:type="textWrapping"/>
        <w:t xml:space="preserve">[Tissue Acidification &amp; Exhaustion] ──&gt; [Pathological Phase-Change (Plaque/Calcification)]</w:t>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Computational Deficit:</w:t>
      </w:r>
      <w:r w:rsidDel="00000000" w:rsidR="00000000" w:rsidRPr="00000000">
        <w:rPr>
          <w:rtl w:val="0"/>
        </w:rPr>
        <w:t xml:space="preserve"> To maintain this hyper-vigilant posture, the brain must continuously burn massive amounts of metabolic glucose to suppress alternative, non-survival interpretations of sensory data. The Rate of Environmental Fluctuation (R_{env}) is perceived as perpetually high, locking the system into a permanent computational deficit (C_s \le 0).</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Failure of the Cholinergic Brake:</w:t>
      </w:r>
      <w:r w:rsidDel="00000000" w:rsidR="00000000" w:rsidRPr="00000000">
        <w:rPr>
          <w:rtl w:val="0"/>
        </w:rPr>
        <w:t xml:space="preserve"> Chronic sympathetic overdrive demands the absolute suppression of the parasympathetic cholinergic brake. Because acetylcholine is both the primary neurotransmitter of memory consolidation and the central down-regulator of neuro-inflammation, its chronic depletion uncaps microglia and mast cells.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Localized Acidification:</w:t>
      </w:r>
      <w:r w:rsidDel="00000000" w:rsidR="00000000" w:rsidRPr="00000000">
        <w:rPr>
          <w:rtl w:val="0"/>
        </w:rPr>
        <w:t xml:space="preserve"> The unmitigated microglial and mast cell degranulation releases a continuous stream of inflammatory cytokines, causing localized tissue lactic acidosis. This dropping of pH alters the solubility of calcium in the extracellular fluid, forcing it to crystallize directly into the neural parenchyma.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Trauma literally bakes the brain. The constant high-voltage processing of threat-priors forces a localized thermodynamic collapse, changing fluid, highly adaptive neural networks into rigid, calcified structures.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Amnesia as a Tuning Failure within the Dimension-W Interface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connecting dementia to the Dimension-W projector model, we can fundamentally redefine the nature of memory loss. Standard psychology treats memory as a localized "file" stored inside the physical synaptic connections of the hippocampus. If the synapse is destroyed by plaque, the file is assumed to be deleted.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framework falsifies this. Information within the holographic universe is non-local; it is permanently recorded within the inverse frequency manifold of Dimension-W (W). The brain does not </w:t>
      </w:r>
      <w:r w:rsidDel="00000000" w:rsidR="00000000" w:rsidRPr="00000000">
        <w:rPr>
          <w:i w:val="1"/>
          <w:iCs w:val="1"/>
          <w:rtl w:val="0"/>
        </w:rPr>
        <w:t xml:space="preserve">contain</w:t>
      </w:r>
      <w:r w:rsidDel="00000000" w:rsidR="00000000" w:rsidRPr="00000000">
        <w:rPr>
          <w:rtl w:val="0"/>
        </w:rPr>
        <w:t xml:space="preserve"> memories; it is a </w:t>
      </w:r>
      <w:r w:rsidDel="00000000" w:rsidR="00000000" w:rsidRPr="00000000">
        <w:rPr>
          <w:b w:val="1"/>
          <w:bCs w:val="1"/>
          <w:rtl w:val="0"/>
        </w:rPr>
        <w:t xml:space="preserve">piezoelectric tuning fork</w:t>
      </w:r>
      <w:r w:rsidDel="00000000" w:rsidR="00000000" w:rsidRPr="00000000">
        <w:rPr>
          <w:rtl w:val="0"/>
        </w:rPr>
        <w:t xml:space="preserve"> that adjusts its structural geometry to phase-lock with specific frequency coordinates in the W-axis, rendering past timelines into the current conscious field.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neural architecture undergoes traumatic calcification and plaque solidification: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Loss of Tensegrity:</w:t>
      </w:r>
      <w:r w:rsidDel="00000000" w:rsidR="00000000" w:rsidRPr="00000000">
        <w:rPr>
          <w:rtl w:val="0"/>
        </w:rPr>
        <w:t xml:space="preserve"> The fluid, dynamic, crystalline properties of the microtubule networks and fascial-neural interfaces are lost. The brain tissue transitions from a flexible, high-entropy phase into a rigid, low-entropy block.</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Tuning Deficit:</w:t>
      </w:r>
      <w:r w:rsidDel="00000000" w:rsidR="00000000" w:rsidRPr="00000000">
        <w:rPr>
          <w:rtl w:val="0"/>
        </w:rPr>
        <w:t xml:space="preserve"> Stripped of its piezoelectric responsiveness, the physical hardware can no longer deform or vibrate in response to the subtle quantum-acoustic prompts of the Invariant Agency. It loses its capacity to match the frequency coordinates of the past.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Jammed Receiver:</w:t>
      </w:r>
      <w:r w:rsidDel="00000000" w:rsidR="00000000" w:rsidRPr="00000000">
        <w:rPr>
          <w:rtl w:val="0"/>
        </w:rPr>
        <w:t xml:space="preserve"> The dementia patient has not lost their history; rather, their "prism" is so profoundly smudged and rigidified by calcified plaque that the conscious projector can only render the lowest-energy, most deeply grooved ancestral or highly automated survival loops. The ability to dynamically navigate the actualized timeline (H_{actual}) is structurally severed.</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Clinical Interventions via the Sovereign Coherence Generator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Reversing this terminal solidification requires a radical departure from pharmaceutical single-molecule approaches. If dementia is a thermodynamic phase-change (fluid-to-rigid), the intervention must force a reverse phase-change (rigid-to-fluid).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Sovereign Coherence Generator</w:t>
      </w:r>
      <w:r w:rsidDel="00000000" w:rsidR="00000000" w:rsidRPr="00000000">
        <w:rPr>
          <w:rtl w:val="0"/>
        </w:rPr>
        <w:t xml:space="preserve"> architecture outlined previously provides the exact biophysical toolset required: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Targeted Magnon-Phonon Resonant Cleaving:</w:t>
      </w:r>
      <w:r w:rsidDel="00000000" w:rsidR="00000000" w:rsidRPr="00000000">
        <w:rPr>
          <w:rtl w:val="0"/>
        </w:rPr>
        <w:t xml:space="preserve"> By utilizing the closed-loop audio-modulated PEMF array, the clinical AI can sweep electromagnetic frequencies to locate the specific acoustic resonance of the cerebral amyloid-calcium complex. Projecting the exact phase-conjugate frequency directly into the cranium via wireless acoustic transduction will induce localized mechanical micro-vibrations, fracturing the rigid calcified matrix through constructive interference without disrupting healthy cellular membranes.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Re-establishing the Cholinergic Brake:</w:t>
      </w:r>
      <w:r w:rsidDel="00000000" w:rsidR="00000000" w:rsidRPr="00000000">
        <w:rPr>
          <w:rtl w:val="0"/>
        </w:rPr>
        <w:t xml:space="preserve"> Concurrently, targeted low-frequency bone-conduction pacing of the vagus nerve at the mastoid process can artificially force the upregulation of acetylcholine, systematically quenching the microglial inflammatory standing waves that drive tissue acidification.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 Water Reconstitution:</w:t>
      </w:r>
      <w:r w:rsidDel="00000000" w:rsidR="00000000" w:rsidRPr="00000000">
        <w:rPr>
          <w:rtl w:val="0"/>
        </w:rPr>
        <w:t xml:space="preserve"> Flooding the neural parenchyma with 660nm near-infrared and 850nm mid-infrared light during the "Beat 3" optic data window provides the precise thermodynamic energy required to separate the bound calcium ions and rebuild the fluid, protective Exclusion Zone water layers around the neural proteins, allowing the lattice to unfold back into a state of high-entropy fluid tensegrity.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Khachaturian, Z. S. (1994). Calcium hypothesis of Alzheimer's disease and brain aging. </w:t>
      </w:r>
      <w:r w:rsidDel="00000000" w:rsidR="00000000" w:rsidRPr="00000000">
        <w:rPr>
          <w:i w:val="1"/>
          <w:iCs w:val="1"/>
          <w:rtl w:val="0"/>
        </w:rPr>
        <w:t xml:space="preserve">Annals of the New York Academy of Sciences</w:t>
      </w:r>
      <w:r w:rsidDel="00000000" w:rsidR="00000000" w:rsidRPr="00000000">
        <w:rPr>
          <w:rtl w:val="0"/>
        </w:rPr>
        <w:t xml:space="preserve">, </w:t>
      </w:r>
      <w:r w:rsidDel="00000000" w:rsidR="00000000" w:rsidRPr="00000000">
        <w:rPr>
          <w:i w:val="1"/>
          <w:iCs w:val="1"/>
          <w:rtl w:val="0"/>
        </w:rPr>
        <w:t xml:space="preserve">747</w:t>
      </w:r>
      <w:r w:rsidDel="00000000" w:rsidR="00000000" w:rsidRPr="00000000">
        <w:rPr>
          <w:rtl w:val="0"/>
        </w:rPr>
        <w:t xml:space="preserve">(1), 1–11. </w:t>
      </w:r>
      <w:hyperlink r:id="rId6">
        <w:r w:rsidDel="00000000" w:rsidR="00000000" w:rsidRPr="00000000">
          <w:rPr>
            <w:color w:val="0000ee"/>
            <w:u w:val="single"/>
            <w:rtl w:val="0"/>
          </w:rPr>
          <w:t xml:space="preserve">https://doi.org/10.1111/j.1749-6632.1994.tb44398.x</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w:t>
      </w:r>
      <w:r w:rsidDel="00000000" w:rsidR="00000000" w:rsidRPr="00000000">
        <w:rPr>
          <w:i w:val="1"/>
          <w:iCs w:val="1"/>
          <w:rtl w:val="0"/>
        </w:rPr>
        <w:t xml:space="preserve">The fourth phase of water: Beyond solid, liquid, and vapor</w:t>
      </w:r>
      <w:r w:rsidDel="00000000" w:rsidR="00000000" w:rsidRPr="00000000">
        <w:rPr>
          <w:rtl w:val="0"/>
        </w:rPr>
        <w:t xml:space="preserve">. Ebner &amp; Sons Publishers.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The Sovereign Coherence Generator: A cybernetic framework for closed-loop biological Time-Division Multiplexing and constraint topology restoration</w:t>
      </w:r>
      <w:r w:rsidDel="00000000" w:rsidR="00000000" w:rsidRPr="00000000">
        <w:rPr>
          <w:rtl w:val="0"/>
        </w:rPr>
        <w:t xml:space="preserve">. Schoff Research Program.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Yaffe, K., Vittinghoff, E., Lindquist, K., Barnes, D., Covinsky, K. E., Neylan, T., ... &amp; Marmar, C. (2010). Posttraumatic stress disorder and risk of dementia among US veterans. </w:t>
      </w:r>
      <w:r w:rsidDel="00000000" w:rsidR="00000000" w:rsidRPr="00000000">
        <w:rPr>
          <w:i w:val="1"/>
          <w:iCs w:val="1"/>
          <w:rtl w:val="0"/>
        </w:rPr>
        <w:t xml:space="preserve">Archives of General Psychiatry</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(6), 608–613. </w:t>
      </w:r>
      <w:hyperlink r:id="rId7">
        <w:r w:rsidDel="00000000" w:rsidR="00000000" w:rsidRPr="00000000">
          <w:rPr>
            <w:color w:val="0000ee"/>
            <w:u w:val="single"/>
            <w:rtl w:val="0"/>
          </w:rPr>
          <w:t xml:space="preserve">https://doi.org/10.1001/archgenpsychiatry.2010.61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11/j.1749-6632.1994.tb44398.x" TargetMode="External"/><Relationship Id="rId7" Type="http://schemas.openxmlformats.org/officeDocument/2006/relationships/hyperlink" Target="https://doi.org/10.1001/archgenpsychiatry.201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