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P</w:t>
      </w:r>
      <w:r>
        <w:rPr>
          <w:rFonts w:ascii="Arial" w:hAnsi="Arial" w:cs="Arial" w:eastAsia="Arial"/>
          <w:b w:val="true"/>
          <w:color w:val="252525"/>
          <w:sz w:val="61"/>
        </w:rPr>
        <w:t>TSD as Prediction-Gain Locking: A Precision-Weighted Model of Annihilation Dread and Its Modulation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 Nickolas Patrick Joseph Schoff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Post-traumatic stress disorder (PTSD) is commonly conceptualized as a fear-based memory disorder characterized by hyperarousal, intrusive recollections, and avoidance. However, this framing fails to adequately explain the hallmark subjective experience reported by many individuals with PTSD: a pervasive sense of imminent annihilation or existential dread that persists independent of immediate threat. In this paper, we propose a theoretical reframing of PTSD as a disorder of prediction-gain locking, in which survival-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threat priors acquire abnormally high precision (gain) and dominate perceptual, interoceptive, and temporal processing. Using nicotine’s reliably reported transient dampening of annihilation dread as a diagnostic probe rather than a treatment endorsement, we examine how modulation of cholinergic and attentional systems reveals key control parameters underlying PTSD phenomenology. We argue that PTSD is best understood not as excessive fear, but as premature certainty of non-continuation, driven by impaired cortical arbitration, altered interoceptive weighting, and collapse of temporal depth. This framework integrates findings across neuroscience, cognitive science, and phenomenology, and suggests new theoretical directions for non-addictive, precision-targeted interventions.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Keywords: PTSD, predictive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precision weighting, annihilation dread, nicotine, cholinergic modulation, temporal perception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Post-traumatic stress disorder (PTSD) has traditionally been framed as a fear-conditioning disorder rooted in maladaptive memory encoding following traumatic exposure (American Psychiatric Association, 2013). While this account captures certain behavioral and physiological features of PTSD, it inadequately addresses one of its most debilitating and distinctive subjective symptoms: a persistent sense of dread characterized not merely by fear, but by the felt certainty that annihilation—psychological or physical—is imminent.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Individuals with PTSD frequently report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experiences that are poorly described by probabilistic threat appraisal (e.g., “something bad might happen”). Instead, they describe a qualitatively different state: “something terminal is already happening.” This distinction suggests that PTSD may involve a fundamental alteration in how the nervous system encodes certainty, time, and survival prediction.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this paper, we propose a systems-level theoretical model in which PTSD is conceptualized as a disorder of prediction-gain locking. Within this framework, threat-related priors acquire excessive and persistent precision, overwhelming contextual updating mechanisms and collapsing temporal distance between present sensation and anticipated catastrophe. We further examine anecdotal and empirical observations regarding nicotine’s transient attenuation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annihilation dread, not as a treatment recommendation, but as an informative perturbation that illuminates underlying control mechanisms.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Limitations of Fear-Based Models of PTSD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Fear-conditioning models emphasize hyperreactivity of the amygdala, impaired extinction, and heightened sympathetic arousal (Pitman et al., 2012). While these models explain exaggerated startle responses and cue-triggered anxiety, they do not fully account for:</w:t>
      </w:r>
    </w:p>
    <w:p>
      <w:pPr>
        <w:numPr>
          <w:numId w:val="1"/>
        </w:numPr>
        <w:spacing w:line="240" w:lineRule="auto" w:after="0" w:before="0"/>
        <w:ind w:right="0" w:left="0"/>
      </w:pPr>
      <w:r>
        <w:rPr>
          <w:rFonts w:ascii="Arial" w:hAnsi="Arial" w:cs="Arial" w:eastAsia="Arial"/>
          <w:color w:val="252525"/>
          <w:sz w:val="61"/>
        </w:rPr>
        <w:t>The continuous, non-cue-dependent nature of annihilation dread.</w:t>
      </w:r>
    </w:p>
    <w:p>
      <w:pPr>
        <w:numPr>
          <w:numId w:val="1"/>
        </w:numPr>
        <w:spacing w:line="240" w:lineRule="auto" w:after="0" w:before="0"/>
        <w:ind w:right="0" w:left="0"/>
      </w:pPr>
      <w:r>
        <w:rPr>
          <w:rFonts w:ascii="Arial" w:hAnsi="Arial" w:cs="Arial" w:eastAsia="Arial"/>
          <w:color w:val="252525"/>
          <w:sz w:val="61"/>
        </w:rPr>
        <w:t>The collapse of temporal perspective commonly reported in PTSD, wherein the future is experienced as already foreclosed.</w:t>
      </w:r>
    </w:p>
    <w:p>
      <w:pPr>
        <w:numPr>
          <w:numId w:val="1"/>
        </w:numPr>
        <w:spacing w:line="240" w:lineRule="auto" w:after="0" w:before="0"/>
        <w:ind w:right="0" w:left="0"/>
      </w:pPr>
      <w:r>
        <w:rPr>
          <w:rFonts w:ascii="Arial" w:hAnsi="Arial" w:cs="Arial" w:eastAsia="Arial"/>
          <w:color w:val="252525"/>
          <w:sz w:val="61"/>
        </w:rPr>
        <w:t xml:space="preserve">Dissociative and derealization symptoms that coexist with, rather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than replace, hyperarousal.</w:t>
      </w:r>
    </w:p>
    <w:p>
      <w:pPr>
        <w:spacing w:line="240" w:lineRule="auto" w:after="0" w:before="0"/>
        <w:ind w:right="0" w:left="0"/>
      </w:pPr>
      <w:r>
        <w:rPr>
          <w:rFonts w:ascii="Arial" w:hAnsi="Arial" w:cs="Arial" w:eastAsia="Arial"/>
          <w:color w:val="252525"/>
          <w:sz w:val="61"/>
        </w:rPr>
        <w:t>These phenomena suggest that PTSD involves not only heightened fear responses, but a deeper disturbance in predictive and integrative brain functions.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PTSD as Prediction-Gain Locking</w:t>
      </w:r>
    </w:p>
    <w:p>
      <w:pPr>
        <w:spacing w:line="240" w:lineRule="auto" w:after="0" w:before="0"/>
        <w:ind w:right="0" w:left="0"/>
      </w:pPr>
      <w:r>
        <w:rPr>
          <w:rFonts w:ascii="Arial" w:hAnsi="Arial" w:cs="Arial" w:eastAsia="Arial"/>
          <w:b w:val="true"/>
          <w:color w:val="252525"/>
          <w:sz w:val="61"/>
        </w:rPr>
        <w:t>Predictive Processing and Precision Weighting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Contemporary predictive processing frameworks conceptualize the brain as a hierarchical inference engine that minimizes prediction error by balancing prior beliefs against incoming sensory evidence (Friston, 2010). Central to this process is precision weighting—the assignment of confidence or gain to specific predictions and error signals.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adaptive functioning, threat-related priors are granted elevated precision during genuine danger and subsequently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down-weighted when contextual evidence no longer supports imminent threat. In PTSD, we propose that this down-weighting mechanism fails.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Definition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Prediction-gain locking</w:t>
      </w:r>
      <w:r>
        <w:rPr>
          <w:rFonts w:ascii="Arial" w:hAnsi="Arial" w:cs="Arial" w:eastAsia="Arial"/>
          <w:color w:val="252525"/>
          <w:sz w:val="61"/>
        </w:rPr>
        <w:t xml:space="preserve"> refers to a pathological state in which survival-threat priors maintain abnormally high precision over time, resisting contextual updating and dominating perceptual, interoceptive, and temporal processing.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Core Features of the Model</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Excessive precision assigned to threat priors</w:t>
      </w:r>
    </w:p>
    <w:p>
      <w:pPr>
        <w:numPr>
          <w:numId w:val="1"/>
        </w:numPr>
        <w:spacing w:line="240" w:lineRule="auto" w:after="0" w:before="0"/>
        <w:ind w:right="0" w:left="0"/>
      </w:pPr>
      <w:r>
        <w:rPr>
          <w:rFonts w:ascii="Arial" w:hAnsi="Arial" w:cs="Arial" w:eastAsia="Arial"/>
          <w:color w:val="252525"/>
          <w:sz w:val="61"/>
        </w:rPr>
        <w:t>Impaired cortical arbitration between limbic and prefrontal systems</w:t>
      </w:r>
    </w:p>
    <w:p>
      <w:pPr>
        <w:numPr>
          <w:numId w:val="1"/>
        </w:numPr>
        <w:spacing w:line="240" w:lineRule="auto" w:after="0" w:before="0"/>
        <w:ind w:right="0" w:left="0"/>
      </w:pPr>
      <w:r>
        <w:rPr>
          <w:rFonts w:ascii="Arial" w:hAnsi="Arial" w:cs="Arial" w:eastAsia="Arial"/>
          <w:color w:val="252525"/>
          <w:sz w:val="61"/>
        </w:rPr>
        <w:t>Over-weighting of interoceptive error signals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Collapse of temporal horizon (future experienced as immediate)</w:t>
      </w:r>
    </w:p>
    <w:p>
      <w:pPr>
        <w:spacing w:line="240" w:lineRule="auto" w:after="0" w:before="0"/>
        <w:ind w:right="0" w:left="0"/>
      </w:pPr>
      <w:r>
        <w:rPr>
          <w:rFonts w:ascii="Arial" w:hAnsi="Arial" w:cs="Arial" w:eastAsia="Arial"/>
          <w:color w:val="252525"/>
          <w:sz w:val="61"/>
        </w:rPr>
        <w:t>The subjective correlate of this configuration is not fear, but certainty of imminent annihilation.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Nicotine as a Diagnostic Perturbation</w:t>
      </w:r>
    </w:p>
    <w:p>
      <w:pPr>
        <w:spacing w:line="240" w:lineRule="auto" w:after="0" w:before="0"/>
        <w:ind w:right="0" w:left="0"/>
      </w:pPr>
      <w:r>
        <w:rPr>
          <w:rFonts w:ascii="Arial" w:hAnsi="Arial" w:cs="Arial" w:eastAsia="Arial"/>
          <w:b w:val="true"/>
          <w:color w:val="252525"/>
          <w:sz w:val="61"/>
        </w:rPr>
        <w:t>Rationale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Nicotine use is disproportionately prevalent among individuals with PTSD, often reported as reducing feelings of dread, dissociation, and internal chaos despite its known health risks. Rather than interpreting this as self-medication in the traditional sense, we treat nicotine as a perturbation that reveals sensitive control surfaces within the PTSD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Mechanistic Implications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Nicotine is a nicotinic acetylcholine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receptor agonist that influences attentional control, sensory gating, and cortical–limbic coupling. Reports of transient symptom relief suggest that nicotine may:</w:t>
      </w:r>
    </w:p>
    <w:p>
      <w:pPr>
        <w:numPr>
          <w:numId w:val="1"/>
        </w:numPr>
        <w:spacing w:line="240" w:lineRule="auto" w:after="0" w:before="0"/>
        <w:ind w:right="0" w:left="0"/>
      </w:pPr>
      <w:r>
        <w:rPr>
          <w:rFonts w:ascii="Arial" w:hAnsi="Arial" w:cs="Arial" w:eastAsia="Arial"/>
          <w:color w:val="252525"/>
          <w:sz w:val="61"/>
        </w:rPr>
        <w:t>Enhance prefrontal modulation of limbic threat signals</w:t>
      </w:r>
    </w:p>
    <w:p>
      <w:pPr>
        <w:numPr>
          <w:numId w:val="1"/>
        </w:numPr>
        <w:spacing w:line="240" w:lineRule="auto" w:after="0" w:before="0"/>
        <w:ind w:right="0" w:left="0"/>
      </w:pPr>
      <w:r>
        <w:rPr>
          <w:rFonts w:ascii="Arial" w:hAnsi="Arial" w:cs="Arial" w:eastAsia="Arial"/>
          <w:color w:val="252525"/>
          <w:sz w:val="61"/>
        </w:rPr>
        <w:t>Improve sensory and contextual gating</w:t>
      </w:r>
    </w:p>
    <w:p>
      <w:pPr>
        <w:numPr>
          <w:numId w:val="1"/>
        </w:numPr>
        <w:spacing w:line="240" w:lineRule="auto" w:after="0" w:before="0"/>
        <w:ind w:right="0" w:left="0"/>
      </w:pPr>
      <w:r>
        <w:rPr>
          <w:rFonts w:ascii="Arial" w:hAnsi="Arial" w:cs="Arial" w:eastAsia="Arial"/>
          <w:color w:val="252525"/>
          <w:sz w:val="61"/>
        </w:rPr>
        <w:t>Stabilize attentional anchoring in the external environment</w:t>
      </w:r>
    </w:p>
    <w:p>
      <w:pPr>
        <w:numPr>
          <w:numId w:val="1"/>
        </w:numPr>
        <w:spacing w:line="240" w:lineRule="auto" w:after="0" w:before="0"/>
        <w:ind w:right="0" w:left="0"/>
      </w:pPr>
      <w:r>
        <w:rPr>
          <w:rFonts w:ascii="Arial" w:hAnsi="Arial" w:cs="Arial" w:eastAsia="Arial"/>
          <w:color w:val="252525"/>
          <w:sz w:val="61"/>
        </w:rPr>
        <w:t>Restore minimal temporal depth (“I will still be here in a moment”)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Importantly, nicotine does not eliminate threat priors; it temporarily reduces their dominance by reintroducing negotiability into the predictive hierarchy.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Temporal Collapse and Annihilation Dread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defining feature of PTSD phenomenology is altered temporal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perception. The future is not merely feared; it is experienced as absent. Within the prediction-gain locking model, this follows naturally: when threat priors are assigned overwhelming precision, predicted non-continuation overrides the brain’s capacity to model extended time horizons.</w:t>
      </w:r>
    </w:p>
    <w:p>
      <w:pPr>
        <w:spacing w:line="240" w:lineRule="auto" w:after="0" w:before="0"/>
        <w:ind w:right="0" w:left="0"/>
      </w:pPr>
      <w:r>
        <w:rPr>
          <w:rFonts w:ascii="Arial" w:hAnsi="Arial" w:cs="Arial" w:eastAsia="Arial"/>
          <w:color w:val="252525"/>
          <w:sz w:val="61"/>
        </w:rPr>
        <w:t>Thus, annihilation dread can be understood as the experiential marker of a system that no longer expects its own persistence.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Implications for Theoretical Intervention Design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PTSD arises from maladaptive precision weighting rather than excessive fear per se, then optimal interventions would aim to:</w:t>
      </w:r>
    </w:p>
    <w:p>
      <w:pPr>
        <w:numPr>
          <w:numId w:val="1"/>
        </w:numPr>
        <w:spacing w:line="240" w:lineRule="auto" w:after="0" w:before="0"/>
        <w:ind w:right="0" w:left="0"/>
      </w:pPr>
      <w:r>
        <w:rPr>
          <w:rFonts w:ascii="Arial" w:hAnsi="Arial" w:cs="Arial" w:eastAsia="Arial"/>
          <w:color w:val="252525"/>
          <w:sz w:val="61"/>
        </w:rPr>
        <w:t>Reduce pathological threat-prior gain without global suppression.</w:t>
      </w:r>
    </w:p>
    <w:p>
      <w:pPr>
        <w:numPr>
          <w:numId w:val="1"/>
        </w:numPr>
        <w:spacing w:line="240" w:lineRule="auto" w:after="0" w:before="0"/>
        <w:ind w:right="0" w:left="0"/>
      </w:pPr>
      <w:r>
        <w:rPr>
          <w:rFonts w:ascii="Arial" w:hAnsi="Arial" w:cs="Arial" w:eastAsia="Arial"/>
          <w:color w:val="252525"/>
          <w:sz w:val="61"/>
        </w:rPr>
        <w:t xml:space="preserve">Restore cortical arbitration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contextual binding.</w:t>
      </w:r>
    </w:p>
    <w:p>
      <w:pPr>
        <w:numPr>
          <w:numId w:val="1"/>
        </w:numPr>
        <w:spacing w:line="240" w:lineRule="auto" w:after="0" w:before="0"/>
        <w:ind w:right="0" w:left="0"/>
      </w:pPr>
      <w:r>
        <w:rPr>
          <w:rFonts w:ascii="Arial" w:hAnsi="Arial" w:cs="Arial" w:eastAsia="Arial"/>
          <w:color w:val="252525"/>
          <w:sz w:val="61"/>
        </w:rPr>
        <w:t>Re-expand temporal depth and future modeling.</w:t>
      </w:r>
    </w:p>
    <w:p>
      <w:pPr>
        <w:numPr>
          <w:numId w:val="1"/>
        </w:numPr>
        <w:spacing w:line="240" w:lineRule="auto" w:after="0" w:before="0"/>
        <w:ind w:right="0" w:left="0"/>
      </w:pPr>
      <w:r>
        <w:rPr>
          <w:rFonts w:ascii="Arial" w:hAnsi="Arial" w:cs="Arial" w:eastAsia="Arial"/>
          <w:color w:val="252525"/>
          <w:sz w:val="61"/>
        </w:rPr>
        <w:t>Avoid dependency and tolerance dynamics.</w:t>
      </w:r>
    </w:p>
    <w:p>
      <w:pPr>
        <w:spacing w:line="240" w:lineRule="auto" w:after="0" w:before="0"/>
        <w:ind w:right="0" w:left="0"/>
      </w:pPr>
      <w:r>
        <w:rPr>
          <w:rFonts w:ascii="Arial" w:hAnsi="Arial" w:cs="Arial" w:eastAsia="Arial"/>
          <w:color w:val="252525"/>
          <w:sz w:val="61"/>
        </w:rPr>
        <w:t>From this perspective, the goal is not generalized calming, but restoration of contextual sovereignty—the system’s ability to flexibly negotiate predictions in light of present conditions.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Integration with Coherence-Based and Systems Frameworks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Within broader coherence-based and unified systems frameworks (e.g., Unified Consciousness Substrate Theory), prediction-gain locking can be interpreted as a local collapse of recursive coherence. The system becomes trapped in a self-reinforcing loop that prioritizes survival certainty over adaptive updating. This interpretation aligns PTSD with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disorders of rigid prediction and suggests cross-domain relevance.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Reframing PTSD as a disorder of prediction-gain locking offers a parsimonious explanation for its most distressing subjective features, particularly annihilation dread and temporal collapse. By treating nicotine’s transient effects as a diagnostic probe rather than a solution, we gain insight into the underlying mechanisms governing precision, attention, and cortical arbitration. This model moves beyond fear-based accounts and opens new theoretical avenues for understanding and altering PTSD at the level of predictive control parameters.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References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American Psychiatric Association. (2013). </w:t>
      </w:r>
      <w:r>
        <w:rPr>
          <w:rFonts w:ascii="Arial" w:hAnsi="Arial" w:cs="Arial" w:eastAsia="Arial"/>
          <w:i w:val="true"/>
          <w:color w:val="252525"/>
          <w:sz w:val="61"/>
        </w:rPr>
        <w:t>Diagnostic and statistical manual of mental disorders</w:t>
      </w:r>
      <w:r>
        <w:rPr>
          <w:rFonts w:ascii="Arial" w:hAnsi="Arial" w:cs="Arial" w:eastAsia="Arial"/>
          <w:color w:val="252525"/>
          <w:sz w:val="61"/>
        </w:rPr>
        <w:t xml:space="preserve"> (5th 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Friston, K. (2010). The free-energy principle: A unified brain theory? </w:t>
      </w:r>
      <w:r>
        <w:rPr>
          <w:rFonts w:ascii="Arial" w:hAnsi="Arial" w:cs="Arial" w:eastAsia="Arial"/>
          <w:i w:val="true"/>
          <w:color w:val="252525"/>
          <w:sz w:val="61"/>
        </w:rPr>
        <w:t>Nature Reviews Neuroscience, 11</w:t>
      </w:r>
      <w:r>
        <w:rPr>
          <w:rFonts w:ascii="Arial" w:hAnsi="Arial" w:cs="Arial" w:eastAsia="Arial"/>
          <w:color w:val="252525"/>
          <w:sz w:val="61"/>
        </w:rPr>
        <w:t>(2), 127–138.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Pitman, R. K., Rasmusson, A. M., Koenen, K. C., Shin, L. M., Orr, S. P., Gilbertson, M. W., ... &amp; Liberzon, I. (2012). Biological studies of post-traumatic stress disorder. </w:t>
      </w:r>
      <w:r>
        <w:rPr>
          <w:rFonts w:ascii="Arial" w:hAnsi="Arial" w:cs="Arial" w:eastAsia="Arial"/>
          <w:i w:val="true"/>
          <w:color w:val="252525"/>
          <w:sz w:val="61"/>
        </w:rPr>
        <w:t>Nature Reviews Neuroscience, 13</w:t>
      </w:r>
      <w:r>
        <w:rPr>
          <w:rFonts w:ascii="Arial" w:hAnsi="Arial" w:cs="Arial" w:eastAsia="Arial"/>
          <w:color w:val="252525"/>
          <w:sz w:val="61"/>
        </w:rPr>
        <w:t>(11), 769–787.</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2026-02-01T16:43:02Z</dcterms:created>
  <dc:creator>Apache POI</dc:creator>
</cp:coreProperties>
</file>