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 GREENVILLE STABILITY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Municipal Housing and Food Security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Pilot Jurisdiction: Greenville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State Compliance Framework: New Hampshire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 Greenville Stability Charter establishes a voluntary, lawful municipal framework designed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Neutralize mortgage compounding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Stabilize property tax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Strengthen local food production and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Increase municipal fiscal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Preserve private ownership and market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Charter does not abolish markets, private property, or tax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It restructures leverage and volatility to strengthen long-term civic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II. Core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Ownership Preservation – Residents retain full property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Voluntary Participation – No resident is compelled to 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Legal Compliance – All mechanisms operate within New Hampshire municipal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Transparency – Financial flows are publicly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Non-Extractive Design – Public structures do not accumulate land or 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Exit Permitted, Incentives Aligned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Participation remains rationally superior without coercion.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III. The Greenville Municipal Housing Trust (GMHT)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To purchase, refinance, and stabilize residential mortgage debt within Greenville.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B.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Operates under lawful municipal bond issuance authority and public-benefit trust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C. Mortgage Stabilization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Town issues long-term municipal bonds.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Bond proceeds purchase existing residential mortgage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Notes are restructured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0–1% administrative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Principal-only amortization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 immediate foreclosure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Hardship deferral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Non-securitizable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Ownership remains with resident.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 Trust holds only the debt instrument.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D. Property Tax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Property taxes are not eliminated.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They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Incorporated into the Trust payment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Remitted to appropriate state, county, and school authorities.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Smoothed to prevent sudden assessment shock.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Residents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Single stabilized monthly obligation.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Legal compliance remains intact.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IV. Transfer &amp; Exit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A. Transfer Upon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When a participating property is sold: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Outstanding principal paid at closing.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Appreciation retained by seller.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Buyer offered Trust financing before private lender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B. Right of First Structural 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 Trust retains first opportunity to finance future buyer.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Private financing remains legal, but forfeits participation benefits.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C. Exit Provisions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Residents may refinance privately.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Exit consequences: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Loss of stabilization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Loss of contribution credit offsets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Loss of dividend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Re-entry waiting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Small stabilization fee (1% of outstanding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balance)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Exit is allowed. Participation remains rationally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V. Anti-Resentment &amp; Equity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Fully paid-off homeowners may: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Join as Stability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Receive tax smoothing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Access renovation micro-loans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Earn contribution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Receive annual stability dividend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Non-participants remain unaffected.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 resident loses existing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VI. Civic Contribution Credit System (CCCS)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Increase civic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Supplement household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Strengthen food and infrastructure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B.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Credits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Non-transferable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Time-decaying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Transparent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Non-hoardable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Credits may offset: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Portion of housing obligation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Essential food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Credits may not be used for luxury or speculative goods.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VII. Greenville Food Stability Agreement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(GFSA)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Public-Private Partnership under GMHT.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A.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Locally owned grocery remains privately operated.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Trust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Expansion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Infrastructure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Guaranteed demand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Supply chain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Contribution credit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B. Profit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Net profits above baseline: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Allocated proportionally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Municipal Debt Stabilization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Store reinvestment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Agricultural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Emergency resilience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Baseline profit protected to ensure owner livelihood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C. Local Farm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Participating farms receive: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Guaranteed purchase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Labor supplementation via CCCS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Reduced marketing burden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Predictable demand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Farm autonomy remains intact.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VIII. Financial Stabilization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Housing stabilization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Reduced household volatility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Increased local spending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Stronger grocery revenue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Debt reserve accumulation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Improved bond rating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Lower municipal interest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Further household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Closed-loop reinforcement.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IX. Governance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Rotating Civic Oversight Council (1-year terms)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Independent financial audit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Public quarterly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Conflict-of-interest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Sunset review clause every 10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Automatic expiration of emergency powers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No permanent political authority layer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X. Risk Containment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Identified 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Under-participation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Revenue shortfall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Recession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Legal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Mismanagement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Mitigations: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Phased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Reserve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Participation threshold trigger (e.g., 60% 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Independent legal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Transparent financial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XI. Phase Rollout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1 – Public Education &amp; Vote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2 – Trust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3 – Bond Issuance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4 – Mortgage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5 – Grocery Partnership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6 – Contribution Credit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Phase 7 – 5-Year Review &amp;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XII. Future Expansion (Deferred)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Energy micro-grid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Land acquisition stabilization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Agricultural processing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Property tax reduction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These remain contingent upon demonstrated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XIII. Closing Civic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Charter does not seek to replace the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It seeks to stabilize the foundations upon which the market rests.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By reducing compounding extraction and increasing local resilience, Greenville may strengthen: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Household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Entrepreneurial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Civic cohesion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Fiscal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Participation is voluntary.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Ownership is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Transparency is mandatory.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