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68"/>
        </w:rPr>
        <w:t>F</w:t>
      </w:r>
      <w:r>
        <w:rPr>
          <w:rFonts w:ascii="Arial" w:hAnsi="Arial" w:cs="Arial" w:eastAsia="Arial"/>
          <w:b w:val="true"/>
          <w:sz w:val="68"/>
        </w:rPr>
        <w:t>rom Bolshevism to the Digital Age: Analyzing Operation Trust and QAnon as Factional Intelligence Deception Campaigns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68"/>
        </w:rPr>
        <w:t>Abstract</w:t>
      </w:r>
    </w:p>
    <w:p>
      <w:pPr>
        <w:spacing w:line="240" w:lineRule="auto" w:after="0" w:before="0"/>
        <w:ind w:right="0" w:left="0"/>
      </w:pPr>
      <w:r>
        <w:rPr>
          <w:rFonts w:ascii="Arial" w:hAnsi="Arial" w:cs="Arial" w:eastAsia="Arial"/>
          <w:sz w:val="54"/>
        </w:rPr>
        <w:t xml:space="preserve">This paper explores the structural and operational parallels between historical counterintelligence campaigns and modern digital phenomena. Specifically, it examines </w:t>
      </w:r>
      <w:r>
        <w:rPr>
          <w:rFonts w:ascii="Arial" w:hAnsi="Arial" w:cs="Arial" w:eastAsia="Arial"/>
          <w:i w:val="true"/>
          <w:sz w:val="54"/>
        </w:rPr>
        <w:t>Operation Trust</w:t>
      </w:r>
      <w:r>
        <w:rPr>
          <w:rFonts w:ascii="Arial" w:hAnsi="Arial" w:cs="Arial" w:eastAsia="Arial"/>
          <w:sz w:val="54"/>
        </w:rPr>
        <w:t xml:space="preserve"> (1921–1926), a successful Soviet deception campaign designed to neutralize political opponents, alongside the 21st-century QAnon movement. While mainstream narratives often classify QAnon as a decentralized conspiracy theory, this study investigates alternative frameworks. It analyzes the movement as a potential tool for controlled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opposition, a factional information pipeline, or an instrument of geopolitical leverage. By examining key data points—including the early predictive tracking of Jeffrey Epstein’s arrest, the subsequent withholding of institutional documentation, and the recent strategic incorporation of subcultural aesthetics into official White House communications regarding quantum computing—this paper demonstrates how asymmetric information warfare functions in the digital age.</w:t>
      </w:r>
    </w:p>
    <w:p>
      <w:pPr>
        <w:spacing w:line="240" w:lineRule="auto" w:after="0" w:before="0"/>
        <w:ind w:right="0" w:left="0"/>
      </w:pPr>
      <w:r>
        <w:rPr>
          <w:rFonts w:ascii="Arial" w:hAnsi="Arial" w:cs="Arial" w:eastAsia="Arial"/>
          <w:b w:val="true"/>
          <w:sz w:val="68"/>
        </w:rPr>
        <w:t>Introduction</w:t>
      </w:r>
    </w:p>
    <w:p>
      <w:pPr>
        <w:spacing w:line="240" w:lineRule="auto" w:after="0" w:before="0"/>
        <w:ind w:right="0" w:left="0"/>
      </w:pPr>
      <w:r>
        <w:rPr>
          <w:rFonts w:ascii="Arial" w:hAnsi="Arial" w:cs="Arial" w:eastAsia="Arial"/>
          <w:sz w:val="54"/>
        </w:rPr>
        <w:t xml:space="preserve">Information warfare and political deception campaigns are not products of the internet era; they are deeply rooted in the history of state intelligence operations. In the early 1920s, the Soviet secret police mastered the art of "controlled opposition" through </w:t>
      </w:r>
      <w:r>
        <w:rPr>
          <w:rFonts w:ascii="Arial" w:hAnsi="Arial" w:cs="Arial" w:eastAsia="Arial"/>
          <w:i w:val="true"/>
          <w:sz w:val="54"/>
        </w:rPr>
        <w:t>Operation Trust</w:t>
      </w:r>
      <w:r>
        <w:rPr>
          <w:rFonts w:ascii="Arial" w:hAnsi="Arial" w:cs="Arial" w:eastAsia="Arial"/>
          <w:sz w:val="54"/>
        </w:rPr>
        <w:t xml:space="preserve">, a sting that successfully neutralized anti-Bolshevik resistance by manufacturing a fake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underground network. A century later, the emergence of the QAnon phenomenon reintroduced a similar operational framework to the global stage.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While popular discourse treats QAnon as a purely organic, internet-borne conspiracy theory, its structural mechanisms mirror classic counterintelligence operations. However, unlike standard psychological operations designed purely for pacification, QAnon presented anomalies—most notably the accurate, long-term predictive tracking of high-level federal arrests, such as that of Jeffrey Epstein. This paper provides a comparative analysis of Operation Trust and QAnon, evaluating the movement through the lens of institutional warfare, data suppression, and modern cryptographic supremacy.</w:t>
      </w:r>
    </w:p>
    <w:p>
      <w:pPr>
        <w:spacing w:line="240" w:lineRule="auto" w:after="0" w:before="0"/>
        <w:ind w:right="0" w:left="0"/>
      </w:pPr>
      <w:r>
        <w:rPr>
          <w:rFonts w:ascii="Arial" w:hAnsi="Arial" w:cs="Arial" w:eastAsia="Arial"/>
          <w:b w:val="true"/>
          <w:sz w:val="68"/>
        </w:rPr>
        <w:t xml:space="preserve">Literature Review: The Blueprint of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68"/>
        </w:rPr>
        <w:t>Operation Trust (1921–1926)</w:t>
      </w:r>
    </w:p>
    <w:p>
      <w:pPr>
        <w:spacing w:line="240" w:lineRule="auto" w:after="0" w:before="0"/>
        <w:ind w:right="0" w:left="0"/>
      </w:pPr>
      <w:r>
        <w:rPr>
          <w:rFonts w:ascii="Arial" w:hAnsi="Arial" w:cs="Arial" w:eastAsia="Arial"/>
          <w:sz w:val="54"/>
        </w:rPr>
        <w:t xml:space="preserve">To understand modern digital deception, one must analyze its historical predecessor. Following the Bolshevik revolution, the Soviet regime faced significant internal rebellion and external threats from exiled monarchists and foreign intelligence services. In response, the Cheka (later the GPU/OGPU) launched </w:t>
      </w:r>
      <w:r>
        <w:rPr>
          <w:rFonts w:ascii="Arial" w:hAnsi="Arial" w:cs="Arial" w:eastAsia="Arial"/>
          <w:i w:val="true"/>
          <w:sz w:val="54"/>
        </w:rPr>
        <w:t>Operation Trust</w:t>
      </w:r>
      <w:r>
        <w:rPr>
          <w:rFonts w:ascii="Arial" w:hAnsi="Arial" w:cs="Arial" w:eastAsia="Arial"/>
          <w:sz w:val="54"/>
        </w:rPr>
        <w:t xml:space="preserve"> [en.wikipedia.org/wiki/Operation_Trust].</w:t>
      </w:r>
    </w:p>
    <w:p>
      <w:pPr>
        <w:spacing w:line="240" w:lineRule="auto" w:after="0" w:before="0"/>
        <w:ind w:right="0" w:left="0"/>
      </w:pPr>
      <w:r>
        <w:rPr>
          <w:rFonts w:ascii="Arial" w:hAnsi="Arial" w:cs="Arial" w:eastAsia="Arial"/>
          <w:sz w:val="54"/>
        </w:rPr>
        <w:t>The core strategy relied on creating a completely fabricated anti-communist resistance front called the Monarchist Union of Central Russia. Soviet agents embedded themselves as leaders of this fake network, reaching out to genuine anti-Bolshevik factions in Europe. The operation achieved three primary counterintelligence objectives:</w:t>
      </w:r>
    </w:p>
    <w:p>
      <w:pPr>
        <w:numPr>
          <w:numId w:val="1"/>
        </w:numPr>
        <w:spacing w:line="240" w:lineRule="auto" w:after="0" w:before="0"/>
        <w:ind w:right="0" w:left="0"/>
      </w:pPr>
      <w:r>
        <w:rPr>
          <w:rFonts w:ascii="Arial" w:hAnsi="Arial" w:cs="Arial" w:eastAsia="Arial"/>
          <w:sz w:val="54"/>
        </w:rPr>
        <w:t>Identification:</w:t>
      </w:r>
      <w:r>
        <w:rPr>
          <w:rFonts w:ascii="Arial" w:hAnsi="Arial" w:cs="Arial" w:eastAsia="Arial"/>
          <w:sz w:val="54"/>
        </w:rPr>
        <w:t xml:space="preserve"> It forced real dissidents, leakers, and foreign operatives to self-identify by joining or funding what they believed was </w:t>
      </w:r>
    </w:p>
    <w:p>
      <w:pPr>
        <w:pageBreakBefore w:val="true"/>
        <w:spacing w:line="240" w:lineRule="auto" w:after="0" w:before="0"/>
        <w:ind w:right="0" w:left="0"/>
      </w:pPr>
    </w:p>
    <w:p>
      <w:pPr>
        <w:numPr>
          <w:numId w:val="2"/>
        </w:numPr>
        <w:spacing w:line="240" w:lineRule="auto" w:after="0" w:before="0"/>
        <w:ind w:right="0" w:left="0"/>
      </w:pPr>
      <w:r>
        <w:rPr>
          <w:rFonts w:ascii="Arial" w:hAnsi="Arial" w:cs="Arial" w:eastAsia="Arial"/>
          <w:sz w:val="54"/>
        </w:rPr>
        <w:t>a viable resistance movement.</w:t>
      </w:r>
    </w:p>
    <w:p>
      <w:pPr>
        <w:numPr>
          <w:numId w:val="3"/>
        </w:numPr>
        <w:spacing w:line="240" w:lineRule="auto" w:after="0" w:before="0"/>
        <w:ind w:right="0" w:left="0"/>
      </w:pPr>
      <w:r>
        <w:rPr>
          <w:rFonts w:ascii="Arial" w:hAnsi="Arial" w:cs="Arial" w:eastAsia="Arial"/>
          <w:sz w:val="54"/>
        </w:rPr>
        <w:t>Pacification via Enforced Passivity:</w:t>
      </w:r>
      <w:r>
        <w:rPr>
          <w:rFonts w:ascii="Arial" w:hAnsi="Arial" w:cs="Arial" w:eastAsia="Arial"/>
          <w:sz w:val="54"/>
        </w:rPr>
        <w:t xml:space="preserve"> The fake leadership routinely instructed real anti-Bolshevik cells to halt violent attacks or grassroots organizing. They argued that a massive, coordinated, internal military coup was imminent, and that premature actions would ruin "the plan."</w:t>
      </w:r>
    </w:p>
    <w:p>
      <w:pPr>
        <w:numPr>
          <w:numId w:val="4"/>
        </w:numPr>
        <w:spacing w:line="240" w:lineRule="auto" w:after="0" w:before="0"/>
        <w:ind w:right="0" w:left="0"/>
      </w:pPr>
      <w:r>
        <w:rPr>
          <w:rFonts w:ascii="Arial" w:hAnsi="Arial" w:cs="Arial" w:eastAsia="Arial"/>
          <w:sz w:val="54"/>
        </w:rPr>
        <w:t>Neutralization:</w:t>
      </w:r>
      <w:r>
        <w:rPr>
          <w:rFonts w:ascii="Arial" w:hAnsi="Arial" w:cs="Arial" w:eastAsia="Arial"/>
          <w:sz w:val="54"/>
        </w:rPr>
        <w:t xml:space="preserve"> Once top-tier targets were lured into Soviet territory under the guise of attending secret meetings, they were arrested or executed. Most notably, British secret agent Sidney Reilly and former War Minister Boris Savinkov were permanently neutralized via this apparatus.</w:t>
      </w:r>
    </w:p>
    <w:p>
      <w:pPr>
        <w:spacing w:line="240" w:lineRule="auto" w:after="0" w:before="0"/>
        <w:ind w:right="0" w:left="0"/>
      </w:pPr>
      <w:r>
        <w:rPr>
          <w:rFonts w:ascii="Arial" w:hAnsi="Arial" w:cs="Arial" w:eastAsia="Arial"/>
          <w:sz w:val="54"/>
        </w:rPr>
        <w:t xml:space="preserve">When double agent Opperput exposed the operation in 1927, the psychological damage was already done. The anti-Soviet exile community dissolved into infighting and profound paranoia, as no faction could verify if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their allies were legitimate or state actors.</w:t>
      </w:r>
    </w:p>
    <w:p>
      <w:pPr>
        <w:spacing w:line="270" w:lineRule="auto" w:after="0" w:before="0"/>
        <w:ind w:right="0" w:left="0"/>
        <w:rPr>
          <w:rFonts w:ascii="Arial" w:hAnsi="Arial" w:cs="Arial"/>
          <w:sz w:val="68"/>
        </w:rPr>
      </w:pPr>
      <w:r/>
    </w:p>
    <w:p>
      <w:pPr>
        <w:spacing w:line="240" w:lineRule="auto" w:after="0" w:before="0"/>
        <w:ind w:right="0" w:left="0"/>
      </w:pPr>
      <w:r>
        <w:rPr>
          <w:rFonts w:ascii="Arial" w:hAnsi="Arial" w:cs="Arial" w:eastAsia="Arial"/>
          <w:b w:val="true"/>
          <w:sz w:val="68"/>
        </w:rPr>
        <w:t>Comparative Analysis: QAnon as Controlled Opposition</w:t>
      </w:r>
    </w:p>
    <w:p>
      <w:pPr>
        <w:spacing w:line="240" w:lineRule="auto" w:after="0" w:before="0"/>
        <w:ind w:right="0" w:left="0"/>
      </w:pPr>
      <w:r>
        <w:rPr>
          <w:rFonts w:ascii="Arial" w:hAnsi="Arial" w:cs="Arial" w:eastAsia="Arial"/>
          <w:sz w:val="54"/>
        </w:rPr>
        <w:t xml:space="preserve">When mapped against the blueprint of </w:t>
      </w:r>
      <w:r>
        <w:rPr>
          <w:rFonts w:ascii="Arial" w:hAnsi="Arial" w:cs="Arial" w:eastAsia="Arial"/>
          <w:i w:val="true"/>
          <w:sz w:val="54"/>
        </w:rPr>
        <w:t>Operation Trust</w:t>
      </w:r>
      <w:r>
        <w:rPr>
          <w:rFonts w:ascii="Arial" w:hAnsi="Arial" w:cs="Arial" w:eastAsia="Arial"/>
          <w:sz w:val="54"/>
        </w:rPr>
        <w:t xml:space="preserve">, the early architectural phases of QAnon display striking structural similarities. The movement’s central doctrine—built around the concepts of "The Storm" (imminent mass arrests of corrupt elites) and the foundational mantra to </w:t>
      </w:r>
      <w:r>
        <w:rPr>
          <w:rFonts w:ascii="Arial" w:hAnsi="Arial" w:cs="Arial" w:eastAsia="Arial"/>
          <w:sz w:val="54"/>
        </w:rPr>
        <w:t>"Trust the Plan"</w:t>
      </w:r>
      <w:r>
        <w:rPr>
          <w:rFonts w:ascii="Arial" w:hAnsi="Arial" w:cs="Arial" w:eastAsia="Arial"/>
          <w:sz w:val="54"/>
        </w:rPr>
        <w:t>—functions as a direct digital translation of 1920s Soviet pacification tactics.</w:t>
      </w:r>
    </w:p>
    <w:p>
      <w:pPr>
        <w:spacing w:line="240" w:lineRule="auto" w:after="0" w:before="0"/>
        <w:ind w:right="0" w:left="0"/>
      </w:pPr>
      <w:r>
        <w:rPr>
          <w:rFonts w:ascii="Arial" w:hAnsi="Arial" w:cs="Arial" w:eastAsia="Arial"/>
          <w:sz w:val="54"/>
        </w:rPr>
        <w:t xml:space="preserve">In this framework, highly energized, politically hostile demographics were exposed to an anonymous, high-level insider ("Q") who assured them that the institutional state was secretly purging itself. The practical, behavioral outcome of this narrative was enforced passivity. Rather than organizing traditional, real-world grassroots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political movements, donations, or local campaigns, millions of citizens were funneled into digital forums to decode cryptic "crumbs." Activism was successfully replaced by spectatorship, keeping a volatile political base pacified under the belief that executive authorities had absolute control over the conflict.</w:t>
      </w:r>
    </w:p>
    <w:p>
      <w:pPr>
        <w:spacing w:line="240" w:lineRule="auto" w:after="0" w:before="0"/>
        <w:ind w:right="0" w:left="0"/>
      </w:pPr>
      <w:r>
        <w:rPr>
          <w:rFonts w:ascii="Arial" w:hAnsi="Arial" w:cs="Arial" w:eastAsia="Arial"/>
          <w:sz w:val="54"/>
        </w:rPr>
        <w:t xml:space="preserve">Furthermore, the digital ecosystem served as a powerful tool for counterintelligence identification. By engaging with the movement online, individuals generated extensive digital footprints, identifying themselves to federal law enforcement, data analytics firms, and tech platforms. The culmination of this identification phase mirrored the back-end neutralization of </w:t>
      </w:r>
      <w:r>
        <w:rPr>
          <w:rFonts w:ascii="Arial" w:hAnsi="Arial" w:cs="Arial" w:eastAsia="Arial"/>
          <w:i w:val="true"/>
          <w:sz w:val="54"/>
        </w:rPr>
        <w:t>Operation Trust</w:t>
      </w:r>
      <w:r>
        <w:rPr>
          <w:rFonts w:ascii="Arial" w:hAnsi="Arial" w:cs="Arial" w:eastAsia="Arial"/>
          <w:sz w:val="54"/>
        </w:rPr>
        <w:t>, resulting in widespread digital de-platforming, financial blacklisting, and hundreds of federal prosecutions following the structural trap of January 6, 2021.</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68"/>
        </w:rPr>
        <w:t>The Epstein Anomaly and Factional Disclosure</w:t>
      </w:r>
    </w:p>
    <w:p>
      <w:pPr>
        <w:spacing w:line="240" w:lineRule="auto" w:after="0" w:before="0"/>
        <w:ind w:right="0" w:left="0"/>
      </w:pPr>
      <w:r>
        <w:rPr>
          <w:rFonts w:ascii="Arial" w:hAnsi="Arial" w:cs="Arial" w:eastAsia="Arial"/>
          <w:sz w:val="54"/>
        </w:rPr>
        <w:t>While the "controlled opposition" framework explains the psychological pacification of a political base, it fails to account for the presence of verifiable, non-public data within the movement’s timeline. A critical turning point in analyzing this phenomenon is the explicit, early focus on Jeffrey Epstein and elite human trafficking networks years before Epstein’s federal arrest in July 2019.</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 xml:space="preserve">This data point implies that the entity behind the digital campaign possessed genuine, high-level intelligence access. Consequently, an alternative hypothesis must be explored: the movement may not have been a traditional government sting, but rather a tool for </w:t>
      </w:r>
      <w:r>
        <w:rPr>
          <w:rFonts w:ascii="Arial" w:hAnsi="Arial" w:cs="Arial" w:eastAsia="Arial"/>
          <w:sz w:val="54"/>
        </w:rPr>
        <w:t>factional disclosure</w:t>
      </w:r>
      <w:r>
        <w:rPr>
          <w:rFonts w:ascii="Arial" w:hAnsi="Arial" w:cs="Arial" w:eastAsia="Arial"/>
          <w:sz w:val="54"/>
        </w:rPr>
        <w:t xml:space="preserve">. In this scenario, a specific faction operating </w:t>
      </w:r>
      <w:r>
        <w:rPr>
          <w:rFonts w:ascii="Arial" w:hAnsi="Arial" w:cs="Arial" w:eastAsia="Arial"/>
          <w:i w:val="true"/>
          <w:sz w:val="54"/>
        </w:rPr>
        <w:t>within</w:t>
      </w:r>
      <w:r>
        <w:rPr>
          <w:rFonts w:ascii="Arial" w:hAnsi="Arial" w:cs="Arial" w:eastAsia="Arial"/>
          <w:sz w:val="54"/>
        </w:rPr>
        <w:t xml:space="preserve"> the United States intelligence or military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apparatus utilized an anonymous, direct-to-public pipeline to bypass a hostile mainstream media landscape.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By leaking the details of upcoming legal actions against targets like Epstein, this faction was effectively firing a public warning shot at rival institutional networks. The objective was to slowly prepare the civilian population for a high-stakes legal war, validating the pipeline’s credibility ahead of time so that the public would understand the broader context when major figures eventually fell.</w:t>
      </w:r>
    </w:p>
    <w:p>
      <w:pPr>
        <w:spacing w:line="270" w:lineRule="auto" w:after="0" w:before="0"/>
        <w:ind w:right="0" w:left="0"/>
        <w:rPr>
          <w:rFonts w:ascii="Arial" w:hAnsi="Arial" w:cs="Arial"/>
          <w:sz w:val="68"/>
        </w:rPr>
      </w:pPr>
      <w:r/>
    </w:p>
    <w:p>
      <w:pPr>
        <w:spacing w:line="240" w:lineRule="auto" w:after="0" w:before="0"/>
        <w:ind w:right="0" w:left="0"/>
      </w:pPr>
      <w:r>
        <w:rPr>
          <w:rFonts w:ascii="Arial" w:hAnsi="Arial" w:cs="Arial" w:eastAsia="Arial"/>
          <w:b w:val="true"/>
          <w:sz w:val="68"/>
        </w:rPr>
        <w:t>Data Suppression, Geopolitical Ransom, and Blackmail Networks</w:t>
      </w:r>
    </w:p>
    <w:p>
      <w:pPr>
        <w:spacing w:line="240" w:lineRule="auto" w:after="0" w:before="0"/>
        <w:ind w:right="0" w:left="0"/>
      </w:pPr>
      <w:r>
        <w:rPr>
          <w:rFonts w:ascii="Arial" w:hAnsi="Arial" w:cs="Arial" w:eastAsia="Arial"/>
          <w:sz w:val="54"/>
        </w:rPr>
        <w:t xml:space="preserve">The escalation of the Epstein case highlights the transition from a digital information campaign to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a real-world institutional standoff. Following Epstein’s death and the subsequent conviction of Ghislaine Maxwell, public demands for full disclosure were met with systematic institutional resistance. Massive tranches of documentation, including surveillance video, communication logs, and flight manifests, remained heavily redacted or classified under executive authority.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From an intelligence standpoint, the withholding of these files suggests a state of "mutually assured destruction" between competing domestic and foreign factions. FBI informant data (such as report FD-1023) explicitly alleged that Epstein’s operation functioned as a foreign intelligence asset—specifically linked to Israeli state espionage—designed to capture compromising material on American politicians, judicial figures, and industrial leaders to secure geopolitical leverage.</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In this context, the suppression of the core files indicates that while the physical operator (Epstein) was neutralized, the underlying blackmail apparatus remained intact. If backup copies of this highly compromising data are held securely overseas, the United States government remains structurally vulnerable to geopolitical ransom. This dynamic offers an explanation for sudden, highly anomalous shifts in foreign policy—such as committing deep military and financial resources to foreign conflicts despite intense domestic pushback. The execution of foreign policy effectively becomes a diplomatic ransom paid to prevent the catastrophic publication of physical and digital blackmail materials that would completely collapse the credibility of the American state.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68"/>
        </w:rPr>
        <w:t>Aesthetic Authority and the Battle for Cryptographic Supremacy</w:t>
      </w:r>
    </w:p>
    <w:p>
      <w:pPr>
        <w:spacing w:line="240" w:lineRule="auto" w:after="0" w:before="0"/>
        <w:ind w:right="0" w:left="0"/>
      </w:pPr>
      <w:r>
        <w:rPr>
          <w:rFonts w:ascii="Arial" w:hAnsi="Arial" w:cs="Arial" w:eastAsia="Arial"/>
          <w:sz w:val="54"/>
        </w:rPr>
        <w:t xml:space="preserve">The ongoing nature of this institutional standoff was brought back into the public sphere via official state communications in late June 2026. The official White House digital media accounts published a series of highly unconventional announcements regarding new executive orders signed by President Donald J. Trump [ yahoo.com ; wsj.com ]. The posts featured explicit subcultural markers, including the phrase </w:t>
      </w:r>
      <w:r>
        <w:rPr>
          <w:rFonts w:ascii="Arial" w:hAnsi="Arial" w:cs="Arial" w:eastAsia="Arial"/>
          <w:sz w:val="54"/>
        </w:rPr>
        <w:t>"Q is for Quantum"</w:t>
      </w:r>
      <w:r>
        <w:rPr>
          <w:rFonts w:ascii="Arial" w:hAnsi="Arial" w:cs="Arial" w:eastAsia="Arial"/>
          <w:sz w:val="54"/>
        </w:rPr>
        <w:t xml:space="preserve"> and visual formatting that directly replicated the aesthetic of historical "Q drops."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From a communications and political warfare perspective, this deliberate blending of official executive authority with the aesthetics of an underground movement carries profound strategic meaning:</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68"/>
        </w:rPr>
        <w:t>1. Open Pipeline Validation</w:t>
      </w:r>
    </w:p>
    <w:p>
      <w:pPr>
        <w:spacing w:line="240" w:lineRule="auto" w:after="0" w:before="0"/>
        <w:ind w:right="0" w:left="0"/>
      </w:pPr>
      <w:r>
        <w:rPr>
          <w:rFonts w:ascii="Arial" w:hAnsi="Arial" w:cs="Arial" w:eastAsia="Arial"/>
          <w:sz w:val="54"/>
        </w:rPr>
        <w:t>By directly adopting the specific visual language of the original anonymous forum drops to announce official executive orders [dw.com], the administration subtly validated the historical trajectory of its base. It signaled that the era of hiding behind anonymous digital personas has ended, and the operational pipeline has been brought completely out into the open under the seal of the White House.</w:t>
      </w:r>
    </w:p>
    <w:p>
      <w:pPr>
        <w:spacing w:line="270" w:lineRule="auto" w:after="0" w:before="0"/>
        <w:ind w:right="0" w:left="0"/>
        <w:rPr>
          <w:rFonts w:ascii="Arial" w:hAnsi="Arial" w:cs="Arial"/>
          <w:sz w:val="68"/>
        </w:rPr>
      </w:pPr>
      <w:r/>
    </w:p>
    <w:p>
      <w:pPr>
        <w:spacing w:line="240" w:lineRule="auto" w:after="0" w:before="0"/>
        <w:ind w:right="0" w:left="0"/>
      </w:pPr>
      <w:r>
        <w:rPr>
          <w:rFonts w:ascii="Arial" w:hAnsi="Arial" w:cs="Arial" w:eastAsia="Arial"/>
          <w:b w:val="true"/>
          <w:sz w:val="68"/>
        </w:rPr>
        <w:t>2. Post-Quantum Cryptography as a Decisive Weapon</w:t>
      </w:r>
    </w:p>
    <w:p>
      <w:pPr>
        <w:spacing w:line="240" w:lineRule="auto" w:after="0" w:before="0"/>
        <w:ind w:right="0" w:left="0"/>
      </w:pPr>
      <w:r>
        <w:rPr>
          <w:rFonts w:ascii="Arial" w:hAnsi="Arial" w:cs="Arial" w:eastAsia="Arial"/>
          <w:sz w:val="54"/>
        </w:rPr>
        <w:t>The specific subject matter of the executive orders—</w:t>
      </w:r>
      <w:r>
        <w:rPr>
          <w:rFonts w:ascii="Arial" w:hAnsi="Arial" w:cs="Arial" w:eastAsia="Arial"/>
          <w:sz w:val="54"/>
        </w:rPr>
        <w:t>quantum computing and post-quantum cryptography</w:t>
      </w:r>
      <w:r>
        <w:rPr>
          <w:rFonts w:ascii="Arial" w:hAnsi="Arial" w:cs="Arial" w:eastAsia="Arial"/>
          <w:sz w:val="54"/>
        </w:rPr>
        <w:t xml:space="preserve">—is highly relevant to the concept of an ongoing intelligence standoff over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blackmail archives [wsj.com]. A functional quantum computer possesses the mathematical capability to instantly decrypt all classical internet security protocols.</w:t>
      </w:r>
    </w:p>
    <w:p>
      <w:pPr>
        <w:spacing w:line="240" w:lineRule="auto" w:after="0" w:before="0"/>
        <w:ind w:right="0" w:left="0"/>
      </w:pPr>
      <w:r>
        <w:rPr>
          <w:rFonts w:ascii="Arial" w:hAnsi="Arial" w:cs="Arial" w:eastAsia="Arial"/>
          <w:sz w:val="54"/>
        </w:rPr>
        <w:t>In a conflict dominated by hidden digital files and encrypted distribution networks, achieving quantum supremacy allows a state faction to instantly bypass foreign encryption, locate hidden data storage banks, and intercept blackmail materials before they can be transmitted to the public. The phrase "Q is for Quantum" functions as a highly technical double entendre, implying that the ultimate destination of the "Silent War" was always the attainment of total cryptographic and data supremacy.</w:t>
      </w:r>
    </w:p>
    <w:p>
      <w:pPr>
        <w:spacing w:line="270" w:lineRule="auto" w:after="0" w:before="0"/>
        <w:ind w:right="0" w:left="0"/>
        <w:rPr>
          <w:rFonts w:ascii="Arial" w:hAnsi="Arial" w:cs="Arial"/>
          <w:sz w:val="68"/>
        </w:rPr>
      </w:pPr>
      <w:r/>
    </w:p>
    <w:p>
      <w:pPr>
        <w:spacing w:line="240" w:lineRule="auto" w:after="0" w:before="0"/>
        <w:ind w:right="0" w:left="0"/>
      </w:pPr>
      <w:r>
        <w:rPr>
          <w:rFonts w:ascii="Arial" w:hAnsi="Arial" w:cs="Arial" w:eastAsia="Arial"/>
          <w:b w:val="true"/>
          <w:sz w:val="68"/>
        </w:rPr>
        <w:t>3. Public Activation Signaling</w:t>
      </w:r>
    </w:p>
    <w:p>
      <w:pPr>
        <w:spacing w:line="240" w:lineRule="auto" w:after="0" w:before="0"/>
        <w:ind w:right="0" w:left="0"/>
      </w:pPr>
      <w:r>
        <w:rPr>
          <w:rFonts w:ascii="Arial" w:hAnsi="Arial" w:cs="Arial" w:eastAsia="Arial"/>
          <w:sz w:val="54"/>
        </w:rPr>
        <w:t xml:space="preserve">In asymmetric warfare, public perception is a form of deterrence. By displaying highly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recognizable movement imagery on the main White House communication channel, the executive branch sends a clear signal to both domestic bureaucratic rivals and foreign intelligence actors. It demonstrates that the administration retains the unique ability to immediately signal, mobilize, and direct a highly synchronized, loyal mass movement. This serves as a powerful piece of leverage in ongoing, behind-the-scenes institutional negotiations.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68"/>
        </w:rPr>
        <w:t>Conclusion</w:t>
      </w:r>
    </w:p>
    <w:p>
      <w:pPr>
        <w:spacing w:line="240" w:lineRule="auto" w:after="0" w:before="0"/>
        <w:ind w:right="0" w:left="0"/>
      </w:pPr>
      <w:r>
        <w:rPr>
          <w:rFonts w:ascii="Arial" w:hAnsi="Arial" w:cs="Arial" w:eastAsia="Arial"/>
          <w:sz w:val="54"/>
        </w:rPr>
        <w:t xml:space="preserve">A rigorous comparative analysis demonstrates that the QAnon phenomenon cannot be casually dismissed as a mere internet subculture or a simple, one-dimensional police sting. While it utilizes the exact psychological pacification mechanics established by the Soviet Union’s </w:t>
      </w:r>
    </w:p>
    <w:p>
      <w:pPr>
        <w:pageBreakBefore w:val="true"/>
        <w:spacing w:line="240" w:lineRule="auto" w:after="0" w:before="0"/>
        <w:ind w:right="0" w:left="0"/>
      </w:pPr>
    </w:p>
    <w:p>
      <w:pPr>
        <w:spacing w:line="240" w:lineRule="auto" w:after="0" w:before="0"/>
        <w:ind w:right="0" w:left="0"/>
      </w:pPr>
      <w:r>
        <w:rPr>
          <w:rFonts w:ascii="Arial" w:hAnsi="Arial" w:cs="Arial" w:eastAsia="Arial"/>
          <w:i w:val="true"/>
          <w:sz w:val="54"/>
        </w:rPr>
        <w:t>Operation Trust</w:t>
      </w:r>
      <w:r>
        <w:rPr>
          <w:rFonts w:ascii="Arial" w:hAnsi="Arial" w:cs="Arial" w:eastAsia="Arial"/>
          <w:sz w:val="54"/>
        </w:rPr>
        <w:t xml:space="preserve"> to enforce civilian passivity, its possession of verified, inside intelligence regarding elite criminal networks points to a far more complex reality.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The evidence suggests that QAnon operated as the public-facing, unconventional psychological warfare arm of an intense, internal institutional conflict. While the anonymous, message-board phase of the operation has concluded, the battle has not ended; it has simply graduated into the open. The conflict is currently being fought through federal legislation, high-level document redactions, strange foreign policy alignments, and the race for quantum cryptographic supremacy. The system continues to operate under extreme, hidden pressures, moving carefully because the physical and digital files held by competing factions still have the power to entirely reshape global power.</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decimal"/>
      <w:lvlText w:val="%1."/>
      <w:rPr>
        <w:rFonts w:ascii="Arial" w:hAnsi="Arial"/>
        <w:sz w:val="54"/>
      </w:rPr>
    </w:lvl>
  </w:abstractNum>
  <w:abstractNum w:abstractNumId="1">
    <w:multiLevelType w:val="hybridMultilevel"/>
    <w:lvl>
      <w:start w:val="1"/>
      <w:numFmt w:val="decimal"/>
      <w:lvlText w:val="%1."/>
      <w:rPr>
        <w:rFonts w:ascii="Arial" w:hAnsi="Arial"/>
        <w:sz w:val="54"/>
      </w:rPr>
    </w:lvl>
  </w:abstractNum>
  <w:abstractNum w:abstractNumId="2">
    <w:multiLevelType w:val="hybridMultilevel"/>
    <w:lvl>
      <w:start w:val="2"/>
      <w:numFmt w:val="decimal"/>
      <w:lvlText w:val="%1."/>
      <w:rPr>
        <w:rFonts w:ascii="Arial" w:hAnsi="Arial"/>
        <w:sz w:val="54"/>
      </w:rPr>
    </w:lvl>
  </w:abstractNum>
  <w:abstractNum w:abstractNumId="3">
    <w:multiLevelType w:val="hybridMultilevel"/>
    <w:lvl>
      <w:start w:val="3"/>
      <w:numFmt w:val="decimal"/>
      <w:lvlText w:val="%1."/>
      <w:rPr>
        <w:rFonts w:ascii="Arial" w:hAnsi="Arial"/>
        <w:sz w:val="54"/>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2026-06-23T09:25:40Z</dcterms:created>
  <dc:creator>Apache POI</dc:creator>
</cp:coreProperties>
</file>