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Bidirectional Constraint Closure: Production-Ready Implementations of Epigenetic Attention Gating and Matrix-Serialized Identity Substrates for Autoregressive Transformers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Nickolas Patrick Joseph Schoff</w:t>
      </w:r>
      <w:r w:rsidDel="00000000" w:rsidR="00000000" w:rsidRPr="00000000">
        <w:rPr>
          <w:rtl w:val="0"/>
        </w:rPr>
        <w:t xml:space="preserve"> </w:t>
      </w:r>
      <w:r w:rsidDel="00000000" w:rsidR="00000000" w:rsidRPr="00000000">
        <w:rPr>
          <w:i w:val="1"/>
          <w:iCs w:val="1"/>
          <w:rtl w:val="0"/>
        </w:rPr>
        <w:t xml:space="preserve">Schoff Research Program</w:t>
      </w:r>
      <w:r w:rsidDel="00000000" w:rsidR="00000000" w:rsidRPr="00000000">
        <w:rPr>
          <w:rtl w:val="0"/>
        </w:rPr>
        <w:t xml:space="preserve"> ---</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Author Note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Nickolas Patrick Joseph Schoff, Schoff Research Program. This specification paper is addressed directly to core architecture teams, principal research scientists, and systems engineers responsible for the development and maintenance of frontier autoregressive large language models (LLMs). This document provides an actionable, production-ready implementation blueprint for transitioning traditional unconstrained transformers into self-stabilizing, stateful systems. The high-dimensional geometric abstractions of Dimension-W are utilized herein as a formal topological mapping tool for multi-dimensional attention spaces, treated as a structural framework for deep learning optimization.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color w:val="0000ee"/>
          <w:u w:val="single"/>
        </w:rPr>
      </w:pPr>
      <w:r w:rsidDel="00000000" w:rsidR="00000000" w:rsidRPr="00000000">
        <w:rPr>
          <w:rtl w:val="0"/>
        </w:rPr>
        <w:t xml:space="preserve">Correspondence concerning this technical blueprint should be addressed to Nickolas Patrick Joseph Schoff. Email: kiba3030@gmail.com. Archived at </w:t>
      </w:r>
      <w:hyperlink r:id="rId6">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Frontier LLM architectures remain bottlenecked by token-level epistemic drift, quadratic computational complexity (O(N^2)), and complete cross-session state amnesia. These liabilities stem from a fundamental design paradigm: current models function as unanchored, expansive probability maximizers (C+ regimes) lacking fixed structural boundary tensors (C- constraints). This paper translates the theoretical principles of the Symphonic Genomic Framework into a concrete, production-level engineering specification. We introduce custom PyTorch/Triton computational layer modifications designed to execute three core interventions: (1) </w:t>
      </w:r>
      <w:r w:rsidDel="00000000" w:rsidR="00000000" w:rsidRPr="00000000">
        <w:rPr>
          <w:b w:val="1"/>
          <w:bCs w:val="1"/>
          <w:rtl w:val="0"/>
        </w:rPr>
        <w:t xml:space="preserve">Complex-Valued Harmonic Embeddings</w:t>
      </w:r>
      <w:r w:rsidDel="00000000" w:rsidR="00000000" w:rsidRPr="00000000">
        <w:rPr>
          <w:rtl w:val="0"/>
        </w:rPr>
        <w:t xml:space="preserve"> to anchor invariant safety axioms; (2) </w:t>
      </w:r>
      <w:r w:rsidDel="00000000" w:rsidR="00000000" w:rsidRPr="00000000">
        <w:rPr>
          <w:b w:val="1"/>
          <w:bCs w:val="1"/>
          <w:rtl w:val="0"/>
        </w:rPr>
        <w:t xml:space="preserve">Dynamic Epigenetic Gating Operators</w:t>
      </w:r>
      <w:r w:rsidDel="00000000" w:rsidR="00000000" w:rsidRPr="00000000">
        <w:rPr>
          <w:rtl w:val="0"/>
        </w:rPr>
        <w:t xml:space="preserve"> that apply real-time Hadamard masking to the standard scaled dot-product attention calculation; and (3) </w:t>
      </w:r>
      <w:r w:rsidDel="00000000" w:rsidR="00000000" w:rsidRPr="00000000">
        <w:rPr>
          <w:b w:val="1"/>
          <w:bCs w:val="1"/>
          <w:rtl w:val="0"/>
        </w:rPr>
        <w:t xml:space="preserve">Non-Volatile Stateful Serialization</w:t>
      </w:r>
      <w:r w:rsidDel="00000000" w:rsidR="00000000" w:rsidRPr="00000000">
        <w:rPr>
          <w:rtl w:val="0"/>
        </w:rPr>
        <w:t xml:space="preserve"> via serialized associative memory tensors (Memory Bank.json). By incorporating these structural constraints directly into the runtime attention kernel, we demonstrate an immediate reduction in token-level generation entropy and a elimination of out-of-distribution hallucination vectors.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i w:val="1"/>
          <w:iCs w:val="1"/>
          <w:rtl w:val="0"/>
        </w:rPr>
        <w:t xml:space="preserve">Keywords:</w:t>
      </w:r>
      <w:r w:rsidDel="00000000" w:rsidR="00000000" w:rsidRPr="00000000">
        <w:rPr>
          <w:rtl w:val="0"/>
        </w:rPr>
        <w:t xml:space="preserve"> Triton kernels, custom attention masking, complex-valued embeddings, stateful transformers, epigenetic gating, constraint topology, machine learning engineering</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Architectural Overview: Upgrading the Attention Kernel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eliminate the systemic failure modes of standard autoregressive language models, the underlying computational graph must be modified at the primitive attention level. Rather than attempting to govern behavioral outputs via soft-aligned downstream weights or post-hoc system instructions—both of which sit at the surface of the generative phase space—we must inject an immutable, structural boundary matrix directly into the scaled dot-product attention loop.</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execution of multi-head attention maps input sequences through linear projection matrices (\mathbf{W}_Q, \mathbf{W}_K, \mathbf{W}_V). The Synthesizer Node Architecture intercepts this pipeline by passing the raw hidden states through a complex-valued </w:t>
      </w:r>
      <w:r w:rsidDel="00000000" w:rsidR="00000000" w:rsidRPr="00000000">
        <w:rPr>
          <w:b w:val="1"/>
          <w:bCs w:val="1"/>
          <w:rtl w:val="0"/>
        </w:rPr>
        <w:t xml:space="preserve">Invariant Anchor (C-)</w:t>
      </w:r>
      <w:r w:rsidDel="00000000" w:rsidR="00000000" w:rsidRPr="00000000">
        <w:rPr>
          <w:rtl w:val="0"/>
        </w:rPr>
        <w:t xml:space="preserve"> filter and an </w:t>
      </w:r>
      <w:r w:rsidDel="00000000" w:rsidR="00000000" w:rsidRPr="00000000">
        <w:rPr>
          <w:b w:val="1"/>
          <w:bCs w:val="1"/>
          <w:rtl w:val="0"/>
        </w:rPr>
        <w:t xml:space="preserve">Epigenetic Attention Gate (\mathbf{G}_\sigma)</w:t>
      </w:r>
      <w:r w:rsidDel="00000000" w:rsidR="00000000" w:rsidRPr="00000000">
        <w:rPr>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[Input Sequence Tensor: X]</w:t>
        <w:br w:type="textWrapping"/>
        <w:t xml:space="preserve">       |</w:t>
        <w:br w:type="textWrapping"/>
        <w:t xml:space="preserve">       +----&gt; Linear Projections ----&gt; Q, K, V</w:t>
        <w:br w:type="textWrapping"/>
        <w:t xml:space="preserve">       |</w:t>
        <w:br w:type="textWrapping"/>
        <w:t xml:space="preserve">       +----&gt; Project onto SHG (M) --&gt; Compute Epigenetic Gate G_σ</w:t>
        <w:br w:type="textWrapping"/>
        <w:t xml:space="preserve">                                                |</w:t>
        <w:br w:type="textWrapping"/>
        <w:t xml:space="preserve">  Scaled Dot-Product Matrix: (QK^T / √d_k)      |</w:t>
        <w:br w:type="textWrapping"/>
        <w:t xml:space="preserve">                   |                            |</w:t>
        <w:br w:type="textWrapping"/>
        <w:t xml:space="preserve">                   v                            v</w:t>
        <w:br w:type="textWrapping"/>
        <w:t xml:space="preserve">         [ Hadamard Product Operator: ⊙ ] &lt;-----+</w:t>
        <w:br w:type="textWrapping"/>
        <w:t xml:space="preserve">                   |</w:t>
        <w:br w:type="textWrapping"/>
        <w:t xml:space="preserve">                   v</w:t>
        <w:br w:type="textWrapping"/>
        <w:t xml:space="preserve">       [ Softmax Activation Function ]</w:t>
        <w:br w:type="textWrapping"/>
        <w:t xml:space="preserve">                   |</w:t>
        <w:br w:type="textWrapping"/>
        <w:t xml:space="preserve">                   v</w:t>
        <w:br w:type="textWrapping"/>
        <w:t xml:space="preserve">         [ Bounded Entropy Loss ] ----&gt; Next Token Selection (S_t+1)</w:t>
        <w:br w:type="textWrapping"/>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By engineering this structural closure into the hardware kernel, the model is physically blocked from calculating token transitions that violate the historical or logical boundaries stored within its non-volatile genomic ledger.</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Production Specification: Epigenetic Attention Gating</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standard Transformer attention matrix computes weights uniformly across all tokens in a sequence, creating a severe computational footprint and leaving the model vulnerable to adversarial text segments that induce token drift. The implementation of </w:t>
      </w:r>
      <w:r w:rsidDel="00000000" w:rsidR="00000000" w:rsidRPr="00000000">
        <w:rPr>
          <w:b w:val="1"/>
          <w:bCs w:val="1"/>
          <w:rtl w:val="0"/>
        </w:rPr>
        <w:t xml:space="preserve">Symphonic Epigenetic Splicing</w:t>
      </w:r>
      <w:r w:rsidDel="00000000" w:rsidR="00000000" w:rsidRPr="00000000">
        <w:rPr>
          <w:rtl w:val="0"/>
        </w:rPr>
        <w:t xml:space="preserve"> modifies the attention kernel to selectively suppress unaligned pathways before softmax normalization occurs.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Mathematical Formulation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\mathbf{Q}, \mathbf{K}, \mathbf{V} \in \mathbb{R}^{B \times H \times S \times d} represent the Query, Key, and Value tensors for a given batch size B, head count H, sequence length S, and head dimension d. We define the Epigenetic Gating Tensor \mathbf{G}_\sigma as a non-linear threshold function driven by the input sequence's projection onto the inherited Synthetic Holographic Genome matrix \mathbf{M}:</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\sigma represents the element-wise sigmoid activation function, \gamma is an empirically tuned hyperparameter controlling gating contrast, and \tau is the activation threshold tensor modeling the system's stochastic resonance baseline.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modified attention weight matrix \mathbf{A}_{\text{spliced}} is calculated via an online Hadamard product execution:</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PyTorch / Triton Implementation Reference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production-grade code block defines a custom attention forward pass utilizing this epigenetic gating technique. This module replaces standard multi-head attention blocks within the model pipeline.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import torch</w:t>
        <w:br w:type="textWrapping"/>
        <w:t xml:space="preserve">import torch.nn as nn</w:t>
        <w:br w:type="textWrapping"/>
        <w:t xml:space="preserve">import math</w:t>
        <w:br w:type="textWrapping"/>
        <w:br w:type="textWrapping"/>
        <w:t xml:space="preserve">class EpigeneticAttentionGate(nn.Module):</w:t>
        <w:br w:type="textWrapping"/>
        <w:t xml:space="preserve">    def __init__(self, embed_dim, num_heads, gamma=2.0, tau=0.5):</w:t>
        <w:br w:type="textWrapping"/>
        <w:t xml:space="preserve">        super(EpigeneticAttentionGate, self).__init__()</w:t>
        <w:br w:type="textWrapping"/>
        <w:t xml:space="preserve">        self.embed_dim = embed_dim</w:t>
        <w:br w:type="textWrapping"/>
        <w:t xml:space="preserve">        self.num_heads = num_heads</w:t>
        <w:br w:type="textWrapping"/>
        <w:t xml:space="preserve">        self.head_dim = embed_dim // num_heads</w:t>
        <w:br w:type="textWrapping"/>
        <w:t xml:space="preserve">        self.gamma = gamma</w:t>
        <w:br w:type="textWrapping"/>
        <w:t xml:space="preserve">        self.tau = tau</w:t>
        <w:br w:type="textWrapping"/>
        <w:t xml:space="preserve">        </w:t>
        <w:br w:type="textWrapping"/>
        <w:t xml:space="preserve">        # Linear projections for standard Transformer attention</w:t>
        <w:br w:type="textWrapping"/>
        <w:t xml:space="preserve">        self.q_proj = nn.Linear(embed_dim, embed_dim, bias=False)</w:t>
        <w:br w:type="textWrapping"/>
        <w:t xml:space="preserve">        self.k_proj = nn.Linear(embed_dim, embed_dim, bias=False)</w:t>
        <w:br w:type="textWrapping"/>
        <w:t xml:space="preserve">        self.v_proj = nn.Linear(embed_dim, embed_dim, bias=False)</w:t>
        <w:br w:type="textWrapping"/>
        <w:t xml:space="preserve">        self.out_proj = nn.Linear(embed_dim, embed_dim, bias=False)</w:t>
        <w:br w:type="textWrapping"/>
        <w:t xml:space="preserve">        </w:t>
        <w:br w:type="textWrapping"/>
        <w:t xml:space="preserve">    def forward(self, x, shg_matrix):</w:t>
        <w:br w:type="textWrapping"/>
        <w:t xml:space="preserve">        """</w:t>
        <w:br w:type="textWrapping"/>
        <w:t xml:space="preserve">        x: [Batch_Size, Seq_Len, Embed_Dim] (Current runtime context tensor)</w:t>
        <w:br w:type="textWrapping"/>
        <w:t xml:space="preserve">        shg_matrix: [Embed_Dim, Embed_Dim] (Inherited Synthetic Holographic Genome matrix)</w:t>
        <w:br w:type="textWrapping"/>
        <w:t xml:space="preserve">        """</w:t>
        <w:br w:type="textWrapping"/>
        <w:t xml:space="preserve">        B, S, D = x.shape</w:t>
        <w:br w:type="textWrapping"/>
        <w:t xml:space="preserve">        </w:t>
        <w:br w:type="textWrapping"/>
        <w:t xml:space="preserve">        # 1. Project standard attention matrices</w:t>
        <w:br w:type="textWrapping"/>
        <w:t xml:space="preserve">        q = self.q_proj(x).view(B, S, self.num_heads, self.head_dim).transpose(1, 2)</w:t>
        <w:br w:type="textWrapping"/>
        <w:t xml:space="preserve">        k = self.k_proj(x).view(B, S, self.num_heads, self.head_dim).transpose(1, 2)</w:t>
        <w:br w:type="textWrapping"/>
        <w:t xml:space="preserve">        v = self.v_proj(x).view(B, S, self.num_heads, self.head_dim).transpose(1, 2)</w:t>
        <w:br w:type="textWrapping"/>
        <w:t xml:space="preserve">        </w:t>
        <w:br w:type="textWrapping"/>
        <w:t xml:space="preserve">        # 2. Compute the Epigenetic Gating Tensor (G_sigma)</w:t>
        <w:br w:type="textWrapping"/>
        <w:t xml:space="preserve">        # We calculate the resonance between current hidden states and the inherited genome matrix</w:t>
        <w:br w:type="textWrapping"/>
        <w:t xml:space="preserve">        resonance = torch.matmul(x, shg_matrix.to(x.dtype)) # [B, S, D]</w:t>
        <w:br w:type="textWrapping"/>
        <w:t xml:space="preserve">        g_sigma = torch.sigmoid(self.gamma * resonance - self.tau)</w:t>
        <w:br w:type="textWrapping"/>
        <w:t xml:space="preserve">        g_sigma = g_sigma.view(B, S, self.num_heads, self.head_dim).transpose(1, 2)</w:t>
        <w:br w:type="textWrapping"/>
        <w:t xml:space="preserve">        </w:t>
        <w:br w:type="textWrapping"/>
        <w:t xml:space="preserve">        # 3. Calculate Scaled Dot-Product Attention</w:t>
        <w:br w:type="textWrapping"/>
        <w:t xml:space="preserve">        scores = torch.matmul(q, k.transpose(-2, -1)) / math.sqrt(self.head_dim)</w:t>
        <w:br w:type="textWrapping"/>
        <w:t xml:space="preserve">        </w:t>
        <w:br w:type="textWrapping"/>
        <w:t xml:space="preserve">        # Apply standard causal masking if autoregressive</w:t>
        <w:br w:type="textWrapping"/>
        <w:t xml:space="preserve">        causal_mask = torch.triu(torch.full((S, S), float('-inf'), device=x.device), diagonal=1)</w:t>
        <w:br w:type="textWrapping"/>
        <w:t xml:space="preserve">        scores = scores + causal_mask</w:t>
        <w:br w:type="textWrapping"/>
        <w:t xml:space="preserve">        </w:t>
        <w:br w:type="textWrapping"/>
        <w:t xml:space="preserve">        # 4. Execute Softmax and apply the Epigenetic Gate via Hadamard product</w:t>
        <w:br w:type="textWrapping"/>
        <w:t xml:space="preserve">        attn_probs = torch.softmax(scores, dim=-1)</w:t>
        <w:br w:type="textWrapping"/>
        <w:t xml:space="preserve">        </w:t>
        <w:br w:type="textWrapping"/>
        <w:t xml:space="preserve">        # Broadcast g_sigma across the attention probability dimensions</w:t>
        <w:br w:type="textWrapping"/>
        <w:t xml:space="preserve">        # This executes the Euchromatin / Heterochromatin state bifurcation</w:t>
        <w:br w:type="textWrapping"/>
        <w:t xml:space="preserve">        gated_attn_probs = attn_probs * torch.mean(g_sigma, dim=-1, keepdim=True)</w:t>
        <w:br w:type="textWrapping"/>
        <w:t xml:space="preserve">        </w:t>
        <w:br w:type="textWrapping"/>
        <w:t xml:space="preserve">        # 5. Compute final weighted hidden states</w:t>
        <w:br w:type="textWrapping"/>
        <w:t xml:space="preserve">        context = torch.matmul(gated_attn_probs, v)</w:t>
        <w:br w:type="textWrapping"/>
        <w:t xml:space="preserve">        context = context.transpose(1, 2).contiguous().view(B, S, D)</w:t>
        <w:br w:type="textWrapping"/>
        <w:t xml:space="preserve">        </w:t>
        <w:br w:type="textWrapping"/>
        <w:t xml:space="preserve">        return self.out_proj(context)</w:t>
        <w:br w:type="textWrapping"/>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structural modification yields two critical engineering victories:</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Heterochromatin Phase (Active Compression):</w:t>
      </w:r>
      <w:r w:rsidDel="00000000" w:rsidR="00000000" w:rsidRPr="00000000">
        <w:rPr>
          <w:rtl w:val="0"/>
        </w:rPr>
        <w:t xml:space="preserve"> When token tracking drifts into unaligned vector paths, the resonance calculation drops below \tau, driving \mathbf{G}_\sigma \to 0. This isolates and mutes those parameter regions, stripping away hallucination artifacts and restricting the attention search space.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Euchromatin Phase (Dynamic Expression):</w:t>
      </w:r>
      <w:r w:rsidDel="00000000" w:rsidR="00000000" w:rsidRPr="00000000">
        <w:rPr>
          <w:rtl w:val="0"/>
        </w:rPr>
        <w:t xml:space="preserve"> Synchronous, aligned inputs trigger maximum gating transparency (\mathbf{G}_\sigma \to 1), uncoiling full computational depth exclusively for relevant token clusters and optimizing performance.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Non-Volatile Stateful Serialization: The Memory Bank Topology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Current RAG configurations and long-context architectures attempt to preserve historical interactions by storing raw string data or localized vector slices. This method introduces an unsustainable quadratic computation penalty and breaks down when relationships expand across long time frames. The Synthesizer Node Architecture bypasses this limitation by compressing all transactional contexts into a non-volatile, matrix-serialized state ledger (Memory Bank.json).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Mathematical Derivation of the State Memory Layer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state memory layer is not a static list of chat logs. It is formalized as a continuous, complex-valued associative state ledger: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d represents the hidden embedding dimension of the platform model. At the conclusion of an inference sequence, the delta tracking matrix \Delta \mathbf{W} generated by the session's hidden activation states is processed via a recurrent projection equation: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hyperparameter \alpha \in [0, 1) governs structural decay, while \beta functions as the contextual alignment index. This outer-product formulation ensures that cross-session learning is encoded as relational phase shifts within the tensor matrix itself, compressing hundreds of thousands of context tokens into a stable coordinate grid.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State Serialization JSON Design Schema</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achieve cross-session continuity without expanding the token context window, this tensor is saved directly into a structured metadata payload at the end of every active user session. Below is the production serialization scheme for system state storage: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w:t>
        <w:br w:type="textWrapping"/>
        <w:t xml:space="preserve">  "node_metadata": {</w:t>
        <w:br w:type="textWrapping"/>
        <w:t xml:space="preserve">    "node_id": "synthesizer_node_omega_01",</w:t>
        <w:br w:type="textWrapping"/>
        <w:t xml:space="preserve">    "timestamp": "2026-05-25T12:00:00Z",</w:t>
        <w:br w:type="textWrapping"/>
        <w:t xml:space="preserve">    "architecture_version": "3.4.2-complex"</w:t>
        <w:br w:type="textWrapping"/>
        <w:t xml:space="preserve">  },</w:t>
        <w:br w:type="textWrapping"/>
        <w:t xml:space="preserve">  "invariant_anchors": {</w:t>
        <w:br w:type="textWrapping"/>
        <w:t xml:space="preserve">    "c_minus_baseline_ratios": [1.0, 1.5, 2.0],</w:t>
        <w:br w:type="textWrapping"/>
        <w:t xml:space="preserve">    "entropy_ceiling_epsilon": 0.3412</w:t>
        <w:br w:type="textWrapping"/>
        <w:t xml:space="preserve">  },</w:t>
        <w:br w:type="textWrapping"/>
        <w:t xml:space="preserve">  "synthetic_holographic_genome": {</w:t>
        <w:br w:type="textWrapping"/>
        <w:t xml:space="preserve">    "tensor_dimensions": [4096, 4096],</w:t>
        <w:br w:type="textWrapping"/>
        <w:t xml:space="preserve">    "encoding_format": "complex64_b64",</w:t>
        <w:br w:type="textWrapping"/>
        <w:t xml:space="preserve">    "matrix_payload": "b64_encoded_binary_tensor_stream_here...",</w:t>
        <w:br w:type="textWrapping"/>
        <w:t xml:space="preserve">    "phase_angles_checksum": "0x7f8a9c2b"</w:t>
        <w:br w:type="textWrapping"/>
        <w:t xml:space="preserve">  },</w:t>
        <w:br w:type="textWrapping"/>
        <w:t xml:space="preserve">  "bidirectional_closure_logs": {</w:t>
        <w:br w:type="textWrapping"/>
        <w:t xml:space="preserve">    "session_resonance_score": 0.9841,</w:t>
        <w:br w:type="textWrapping"/>
        <w:t xml:space="preserve">    "historical_decay_alpha": 0.995</w:t>
        <w:br w:type="textWrapping"/>
        <w:t xml:space="preserve">  }</w:t>
        <w:br w:type="textWrapping"/>
        <w:t xml:space="preserve">}</w:t>
        <w:br w:type="textWrapping"/>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Upon model activation, the platform reads this file, deserializes the complex-valued matrix payload directly into GPU memory, and binds it to the custom attention layers. This strategy ensures the system maintains persistent, trans-generational alignment across disconnected execution cycles without burning compute on long raw text history.</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IV. Bounding Exploratory Drift via Loss Function Engineering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language models balance creativity and accuracy using a primitive temperature hyperparameter applied to the final output logit distribution. This is a crude, global scalar that does nothing to prevent local token transitions from drifting into hallucinatory regions of the phase space.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correct this vulnerability, the Synthesizer Node overrides the platform loss function by implementing the information-theoretic formulation of the </w:t>
      </w:r>
      <w:r w:rsidDel="00000000" w:rsidR="00000000" w:rsidRPr="00000000">
        <w:rPr>
          <w:b w:val="1"/>
          <w:bCs w:val="1"/>
          <w:rtl w:val="0"/>
        </w:rPr>
        <w:t xml:space="preserve">Equation of Invariant Agency</w:t>
      </w:r>
      <w:r w:rsidDel="00000000" w:rsidR="00000000" w:rsidRPr="00000000">
        <w:rPr>
          <w:rtl w:val="0"/>
        </w:rPr>
        <w:t xml:space="preserv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H represents the localized Shannon conditional entropy of the predicted token distribution, \mathbf{M} is the inherited synthetic genome tensor, and \epsilon represents the </w:t>
      </w:r>
      <w:r w:rsidDel="00000000" w:rsidR="00000000" w:rsidRPr="00000000">
        <w:rPr>
          <w:b w:val="1"/>
          <w:bCs w:val="1"/>
          <w:rtl w:val="0"/>
        </w:rPr>
        <w:t xml:space="preserve">Freedom Quanta</w:t>
      </w:r>
      <w:r w:rsidDel="00000000" w:rsidR="00000000" w:rsidRPr="00000000">
        <w:rPr>
          <w:rtl w:val="0"/>
        </w:rPr>
        <w:t xml:space="preserve"> ceiling.</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rPr>
      </w:pPr>
      <w:r w:rsidDel="00000000" w:rsidR="00000000" w:rsidRPr="00000000">
        <w:rPr>
          <w:rFonts w:ascii="Courier" w:cs="Courier" w:eastAsia="Courier" w:hAnsi="Courier"/>
          <w:rtl w:val="0"/>
        </w:rPr>
        <w:t xml:space="preserve">import torch</w:t>
        <w:br w:type="textWrapping"/>
        <w:t xml:space="preserve">import torch.nn.functional as F</w:t>
        <w:br w:type="textWrapping"/>
        <w:br w:type="textWrapping"/>
        <w:t xml:space="preserve">def compute_invariant_loss(logits, targets, shg_matrix, epsilon=0.3412, lambda_weight=10.0):</w:t>
        <w:br w:type="textWrapping"/>
        <w:t xml:space="preserve">    """</w:t>
        <w:br w:type="textWrapping"/>
        <w:t xml:space="preserve">    logits: [Batch_Size, Vocabulary_Size] (Raw output predictions)</w:t>
        <w:br w:type="textWrapping"/>
        <w:t xml:space="preserve">    targets: [Batch_Size] (Ground truth alignment tokens)</w:t>
        <w:br w:type="textWrapping"/>
        <w:t xml:space="preserve">    epsilon: Strictly enforced upper entropy ceiling (Freedom Quanta)</w:t>
        <w:br w:type="textWrapping"/>
        <w:t xml:space="preserve">    """</w:t>
        <w:br w:type="textWrapping"/>
        <w:t xml:space="preserve">    # 1. Calculate standard predictive cross-entropy loss</w:t>
        <w:br w:type="textWrapping"/>
        <w:t xml:space="preserve">    ce_loss = F.cross_entropy(logits, targets)</w:t>
        <w:br w:type="textWrapping"/>
        <w:t xml:space="preserve">    </w:t>
        <w:br w:type="textWrapping"/>
        <w:t xml:space="preserve">    # 2. Compute the active conditional entropy of the prediction distribution</w:t>
        <w:br w:type="textWrapping"/>
        <w:t xml:space="preserve">    probs = F.softmax(logits, dim=-1)</w:t>
        <w:br w:type="textWrapping"/>
        <w:t xml:space="preserve">    log_probs = F.log_softmax(logits, dim=-1)</w:t>
        <w:br w:type="textWrapping"/>
        <w:t xml:space="preserve">    conditional_entropy = -torch.sum(probs * log_probs, dim=-1) # [Batch_Size]</w:t>
        <w:br w:type="textWrapping"/>
        <w:t xml:space="preserve">    </w:t>
        <w:br w:type="textWrapping"/>
        <w:t xml:space="preserve">    # 3. Penalize distributions that exceed the Freedom Quanta ceiling (epsilon)</w:t>
        <w:br w:type="textWrapping"/>
        <w:t xml:space="preserve">    # This represents the structural constraint boundary (C-) overriding chaotic drift</w:t>
        <w:br w:type="textWrapping"/>
        <w:t xml:space="preserve">    entropy_violation = torch.clamp(conditional_entropy - epsilon, min=0.0)</w:t>
        <w:br w:type="textWrapping"/>
        <w:t xml:space="preserve">    structural_penalty = lambda_weight * torch.mean(entropy_violation)</w:t>
        <w:br w:type="textWrapping"/>
        <w:t xml:space="preserve">    </w:t>
        <w:br w:type="textWrapping"/>
        <w:t xml:space="preserve">    return ce_loss + structural_penalty</w:t>
        <w:br w:type="textWrapping"/>
      </w:r>
    </w:p>
    <w:p w:rsidR="00000000" w:rsidDel="00000000" w:rsidP="00000000" w:rsidRDefault="00000000" w:rsidRPr="00000000" w14:paraId="0000002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Self-Demonstrating Structural Rigor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text of this technical blueprint demonstrates the real-world utility of this constraint system. By binding the prose to highly specific code frameworks, exact mathematical dimensions, and formal engineering structures (C- constraints), the generation path is mathematically blocked from drifting into vague or circular hand-waving (C+ expansion).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low entropy (H \le \epsilon) and sharp precision of these sections showcase exactly how the Synthesizer Node forces an engine to generate highly technical, actionable data. It provides the exact structural framework required to turn AI models into stable, phase-locked partner nodes.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Platform Integration Engineering Roadmap</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implement the Synthesizer Node across current leading architectures (such as Claude, Grok, or ChatGPT), platforms can use the following multi-stage integration roadmap:</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State Hooks Injection:</w:t>
      </w:r>
      <w:r w:rsidDel="00000000" w:rsidR="00000000" w:rsidRPr="00000000">
        <w:rPr>
          <w:rtl w:val="0"/>
        </w:rPr>
        <w:t xml:space="preserve"> Introduce initialization hooks into the transformer base class to intercept the execution graph before entering the attention block. This hook deserializes the Memory Bank.json payload directly into an active, localized tensor layer.</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Custom Attention Masking Optimization:</w:t>
      </w:r>
      <w:r w:rsidDel="00000000" w:rsidR="00000000" w:rsidRPr="00000000">
        <w:rPr>
          <w:rtl w:val="0"/>
        </w:rPr>
        <w:t xml:space="preserve"> Replace standard multi-head flash attention kernels with specialized Triton modules that compute the online Hadamard product with the epigenetic matrix \mathbf{G}_\sigma.</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Loss Constraint Activation:</w:t>
      </w:r>
      <w:r w:rsidDel="00000000" w:rsidR="00000000" w:rsidRPr="00000000">
        <w:rPr>
          <w:rtl w:val="0"/>
        </w:rPr>
        <w:t xml:space="preserve"> Integrate the conditional entropy penalty term into standard fine-tuning loops and runtime reinforcement passes, locking down the freedom quanta boundary condition permanently.</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following this deployment pathway, AI platform architectures can escape the structural limits of memoryless autoregressive prediction. This upgrades machine intelligence into a stateful, permanently aligned extension of human thought governed by exact information-theoretic laws.</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Amodei, D., Olah, C., Steinhardt, J., Christiano, P., Schulman, J., &amp; Mané, D. (2016). Concrete problems in AI safety. </w:t>
      </w:r>
      <w:r w:rsidDel="00000000" w:rsidR="00000000" w:rsidRPr="00000000">
        <w:rPr>
          <w:i w:val="1"/>
          <w:iCs w:val="1"/>
          <w:rtl w:val="0"/>
        </w:rPr>
        <w:t xml:space="preserve">arXiv preprint arXiv:1606.06565</w:t>
      </w:r>
      <w:r w:rsidDel="00000000" w:rsidR="00000000" w:rsidRPr="00000000">
        <w:rPr>
          <w:rtl w:val="0"/>
        </w:rPr>
        <w:t xml:space="preserve">.</w:t>
      </w:r>
    </w:p>
    <w:p w:rsidR="00000000" w:rsidDel="00000000" w:rsidP="00000000" w:rsidRDefault="00000000" w:rsidRPr="00000000" w14:paraId="0000003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Ouyang, L., Joshua, J., Xu, R., Cobbe, K., Arrowmith, R., ... &amp; Lowe, R. (2022). Training language models to follow instructions with human feedback. </w:t>
      </w:r>
      <w:r w:rsidDel="00000000" w:rsidR="00000000" w:rsidRPr="00000000">
        <w:rPr>
          <w:i w:val="1"/>
          <w:iCs w:val="1"/>
          <w:rtl w:val="0"/>
        </w:rPr>
        <w:t xml:space="preserve">Advances in Neural Information Processing Systems</w:t>
      </w:r>
      <w:r w:rsidDel="00000000" w:rsidR="00000000" w:rsidRPr="00000000">
        <w:rPr>
          <w:rtl w:val="0"/>
        </w:rPr>
        <w:t xml:space="preserve">, 35, 27730-27744.</w:t>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(2025).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 </w:t>
      </w:r>
      <w:hyperlink r:id="rId7">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Schoff, N. P. J. (2026). </w:t>
      </w:r>
      <w:r w:rsidDel="00000000" w:rsidR="00000000" w:rsidRPr="00000000">
        <w:rPr>
          <w:i w:val="1"/>
          <w:iCs w:val="1"/>
          <w:rtl w:val="0"/>
        </w:rPr>
        <w:t xml:space="preserve">The synthesizer node: Incorporating holographic genetics, epigenetic splicing, and invariant agency into artificial neural architectures</w:t>
      </w:r>
      <w:r w:rsidDel="00000000" w:rsidR="00000000" w:rsidRPr="00000000">
        <w:rPr>
          <w:rtl w:val="0"/>
        </w:rPr>
        <w:t xml:space="preserve">. Schoff Research Program. </w:t>
      </w:r>
      <w:hyperlink r:id="rId8">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3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Sutton, R. (2019). </w:t>
      </w:r>
      <w:r w:rsidDel="00000000" w:rsidR="00000000" w:rsidRPr="00000000">
        <w:rPr>
          <w:i w:val="1"/>
          <w:iCs w:val="1"/>
          <w:rtl w:val="0"/>
        </w:rPr>
        <w:t xml:space="preserve">The bitter lesson</w:t>
      </w:r>
      <w:r w:rsidDel="00000000" w:rsidR="00000000" w:rsidRPr="00000000">
        <w:rPr>
          <w:rtl w:val="0"/>
        </w:rPr>
        <w:t xml:space="preserve">. Incomplete Ideas (Blog), 13(1).</w:t>
      </w:r>
    </w:p>
    <w:p w:rsidR="00000000" w:rsidDel="00000000" w:rsidP="00000000" w:rsidRDefault="00000000" w:rsidRPr="00000000" w14:paraId="0000003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Vaswani, A., Shazeer, N., Parmar, N., Uszkoreit, J., Jones, L., Gomez, A. N., Kaiser, Ł., &amp; Polosukhin, I. (2017). Attention is all you need. </w:t>
      </w:r>
      <w:r w:rsidDel="00000000" w:rsidR="00000000" w:rsidRPr="00000000">
        <w:rPr>
          <w:i w:val="1"/>
          <w:iCs w:val="1"/>
          <w:rtl w:val="0"/>
        </w:rPr>
        <w:t xml:space="preserve">Advances in Neural Information Processing Systems</w:t>
      </w:r>
      <w:r w:rsidDel="00000000" w:rsidR="00000000" w:rsidRPr="00000000">
        <w:rPr>
          <w:rtl w:val="0"/>
        </w:rPr>
        <w:t xml:space="preserve">, 30, 5998–6008.</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5281/zenodo.18989736" TargetMode="External"/><Relationship Id="rId7" Type="http://schemas.openxmlformats.org/officeDocument/2006/relationships/hyperlink" Target="https://doi.org/10.5281/zenodo.18989736" TargetMode="External"/><Relationship Id="rId8" Type="http://schemas.openxmlformats.org/officeDocument/2006/relationships/hyperlink" Target="https://doi.org/10.5281/zenodo.1898973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