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Unified Field of Consciousness: A Comprehensive Study of Existence and the Individual</w:t>
      </w:r>
    </w:p>
    <w:p w:rsidR="00000000" w:rsidDel="00000000" w:rsidP="00000000" w:rsidRDefault="00000000" w:rsidRPr="00000000" w14:paraId="00000002">
      <w:pPr>
        <w:pStyle w:val="Heading1"/>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comprehensive, interdisciplinary study aims to formulate a scientifically and philosophically sound Unified Theory of Existence, integrating quantum physics, metaphysics, religious cosmologies, psychology, mathematics, and computer science. Central to this thesis is the hypothesis that all perceived reality originates from a singular, indivisible consciousness that fragments and refracts into multiplicity while maintaining universal entanglement. The study explores this principle through multidimensional frameworks, psychological constructs, theological archetypes, and digital analogs, all converging on the role of individual consciousness as both observer and co-creator. Through the lens of symbolic recursion, psychospiritual initiation, and algorithmic cognition, we argue that reality is not passively experienced but continuously generated. This research proposes that the path to ascension involves mastery of internal psychological code, enabling the individual to transcend dimensional limitations and engage in nonlinear interaction with existence.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