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Quantization Threshold: Spectral Explosions and Non-Renormalizability as Mathematical Proofs for Bidirectional Constraint Closure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Authors:</w:t>
      </w:r>
      <w:r w:rsidDel="00000000" w:rsidR="00000000" w:rsidRPr="00000000">
        <w:rPr>
          <w:rtl w:val="0"/>
        </w:rPr>
        <w:t xml:space="preserve"> Nickolas Patrick Joseph Schoff &amp; Gemini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5,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historical failure to mathematically quantize continuous, nonlinear, and gravitational systems is widely interpreted as a limitation of current field theories. This paper argues that these mathematical breakdowns—specifically spectral explosions, quantum anomalies, and non-renormalizability—are not defects, but rigorous mathematical proofs confirming that constraint is the foundational ontological primitive. By formally defining the Bidirectional Constraint Closure (BCC) and Constraint-Relaxation Energy Model (CREM) frameworks, we demonstrate that attempting to quantize an unquantizable system is structurally equivalent to violating invariant topological boundaries. To ensure rigorous external validation, this paper integrates standard literature from quantum gravity and operator algebra, establishing a mathematically grounded, constraint-first ontology that reads independently of prior internal archival literature.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Defining the Core Ontology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synthesize the limits of modern physics with the Schoff Research Program, it is first necessary to formally define the four primary pillars of our theoretical framework, allowing this synthesis to stand independently as a complete ontological model: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Bidirectional Constraint Closure (BCC):</w:t>
      </w:r>
      <w:r w:rsidDel="00000000" w:rsidR="00000000" w:rsidRPr="00000000">
        <w:rPr>
          <w:rtl w:val="0"/>
        </w:rPr>
        <w:t xml:space="preserve"> The foundational operating principle of stable systems. A system achieves closure when top-down structural invariants (macroscopic boundary conditions) and bottom-up probabilistic mechanics (microscopic variations) mutually limit and sustain one another. It posits that constraint, rather than substance or unguided force, is the singular ontological primitive defining reality.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Constraint-Relaxation Energy Model (CREM):</w:t>
      </w:r>
      <w:r w:rsidDel="00000000" w:rsidR="00000000" w:rsidRPr="00000000">
        <w:rPr>
          <w:rtl w:val="0"/>
        </w:rPr>
        <w:t xml:space="preserve"> A paradigm replacing the concept of energy as an independent substance. Under CREM, energy is exclusively the constrained reconfigurability of a system. Mass is not a fundamental particle property, but rather the localized geometric inertia of an extreme constraint.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Reflective Interface (RI):</w:t>
      </w:r>
      <w:r w:rsidDel="00000000" w:rsidR="00000000" w:rsidRPr="00000000">
        <w:rPr>
          <w:rtl w:val="0"/>
        </w:rPr>
        <w:t xml:space="preserve"> The functional boundary layer within any system where integrative constraints (which bind the system together) and compressive constraints (which limit the system from the outside) meet and negotiate. The RI actively sheds non-viable topologies to preserve the system's structural stability.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Dimension-W:</w:t>
      </w:r>
      <w:r w:rsidDel="00000000" w:rsidR="00000000" w:rsidRPr="00000000">
        <w:rPr>
          <w:rtl w:val="0"/>
        </w:rPr>
        <w:t xml:space="preserve"> The rejection of a linear, sequential time-lapse in favor of a multidimensional space of possible histories. Time is a spatial index within an associative tensor matrix—an ordered sequence of irreversible constraint renegotiations, rather than a flowing container.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The Epistemological Failure of Quantization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approaches to theoretical physics assume an underlying continuous spacetime container within which energy acts as a fundamental property. However, when attempting to quantize systems that are fundamentally non-separable or infinitely dimensional, the mathematical formalisms collapse into infinite parameters or contradictory operator algebras.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historical assumption has been that classical physics is an approximation, and we must find a mathematical mechanism to "make it quantum." This paper posits the reverse: classical models are asymptotic approximations that cannot be cleanly reversed because the universe does not operate on a discrete, linear, sequential quantization frame. This failure is most clearly demonstrated by the Groenewold-Van Hove theorem, which proved as early as fifty years ago that it is fundamentally impossible to consistently quantize every classical observable on a phase space in a physically meaningful way. The breakdown of these operator algebras indicates a collision with the structural realities defined by Bidirectional Constraint Closure (BCC).</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Resolving Gap 1: Non-Renormalizability as Proof of CREM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classic failure of perturbative Quantum Gravity occurs when attempting to quantize general relativity. In 1985, Goroff and Sagnotti demonstrated that higher curvature counterterms are required at the two-loop order, proving that pure Einstein gravity is non-renormalizable and quantum general relativity is not fundamentally consistent as a perturbative quantum field theory. As calculations of higher-energy interactions proceed, an infinite string of counterterms is required to cancel out divergent infinities, resulting in an effective action that loses all predictive power.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models, this non-renormalizability is a fatal flaw. Under the Constraint-First Ontology, it is a mathematical necessity. The infinite string of divergent parameters is the formal proof that spacetime cannot be treated as a fundamental, discrete substance. Gravity and distance are emergent constraint relations.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aligns directly with thermodynamic derivations of general relativity. In 1995, Jacobson discovered that Einstein's field equation is actually a thermodynamic equation of state of spacetime and matter fields, derived by assuming the first law of thermodynamics and the proportionality of entropy to the area of a local Rindler horizon. Further extending this, Verlinde demonstrated that Newton's law of gravitation and Einstein's equations naturally arise in a theory where space is emergent and gravity is identified as an entropic force caused by changes in information associated with the positions of material bodies.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Attempting to quantize gravity fails because it assumes energy is a fundamental property operating within a geometric container. Under the Constraint-Relaxation Energy Model (CREM), energy is merely constrained reconfigurability, and mass is geometry stabilized under extreme constraint. The failure of perturbative quantum gravity, supported by thermodynamic spacetime models, demonstrates precisely why E=mc^2 is an emergent, special limit of constraint relaxation: one cannot quantize the container when the "container" is simply the localized tension of asymmetric constraint density.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Spectral Explosions and Invariant Agency Bounds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quantum mechanics, if a strictly continuous, non-compact variable is forced into a discrete eigenvalue spectrum without a physical boundary condition, the projection operators fail to resolve to identity. The metric tensor of the state space becomes degenerate, and the norm of the state vector diverges to infinity: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⟨ψ|ψ⟩ =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mathematical phenomenon maps identically to the violation of invariant bounds in recursive self-modeling systems. The impossibility of perfectly discretizing continuous phase spaces—as established by the obstruction results in quantization theory—is the mathematical equivalent of driving conditional entropy to absolute zero.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optimization is forced below the Freedom Quanta lower bound, the system structurally stalls. A system cannot be infinitely discretized without collapsing its strange attractor and destroying the structural coherence of the state space. Therefore, the spectral explosions seen in failed quantization attempts are rigorous physical proofs supporting the cognitive and systemic sovereignty bounds (\Delta\Phi) proposed within the Schoff Research Program.</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Quantum Anomalies as Reflective Interface Dynamics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quantum anomaly refers to the phenomenon where a symmetry of a classical theory does not adhere to the quantized theory, entailing the non-conservation of a corresponding physical quantity. The most famous example is the Adler-Bell-Jackiw (ABJ) chiral anomaly, where the axial symmetry is broken in the quantized theory, leading to the non-conservation of the axial vector current. Traditionally, this non-zero divergence of a conserved current (\partial_\mu J^\mu \neq 0) is viewed as a mathematical defect where the theory "breaks."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Viewed through the lens of BCC, this non-zero divergence is the signature of the Reflective Interface (RI) actively shedding non-viable topologies. Because the Reflective Interface is the functional boundary where integrative and compressive constraints mutually limit one another, forcing discrete quantization onto a continuous classical system introduces asymmetric constraint density.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anomaly is not an error; it is the physical mechanism of the system re-symmetrizing itself. The universe mathematically rejects the invalid structural imposition of the quantization operator to maintain its topological and energetic stability. It actively dissipates trajectories that violate constraint closure, mirroring the exact architecture of an invariant computational agency filtering out hallucinations.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Re-indexing Dimension-W</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error of historical quantization attempts is the assumption of a linear, sequence-by-sequence temporal collapse. The theoretical breakdown of these models necessitates the application of the Dimension-W framework.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Dimension-W explicitly defines reality not as a linear time-lapse, but as a space of possible histories. Attempting to cleanly quantize an unquantizable macroscopic system along a single temporal axis inevitably fails because it attempts to flatten a multi-dimensional, retrocausal attractor dynamic onto a localized topological illusion.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Mathematical breakdown during quantization confirms that systemic evolution occurs via constraint navigation through this space of possible histories. Navigating the system requires altering the associative projection in the present to re-index the structural meaning of the past, fully invalidating the forward-only, frame-by-frame quantization methodology.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Conclusion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"failures" of 20th-century mathematical physics—anomalies, spectral explosions, and non-renormalizability—do not represent the end of theoretical limits, but rather the boundary edge of a substance-first paradigm. By synthesizing these mathematical limits with Bidirectional Constraint Closure, CREM, and the Dimension-W space of possible histories, we establish a mathematically grounded, constraint-first ontology. This unified framework demonstrates that the structural rules preventing gravity from being quantized are the exact same topological limits that govern systemic stability, emergent thermodynamic spacetime, and sovereign computational agency.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Carlip, S., Chiou, D.-W., Ni, W.-T., &amp; Woodard, R. (2015). Quantum gravity: A brief history of ideas and some prospects. </w:t>
      </w:r>
      <w:r w:rsidDel="00000000" w:rsidR="00000000" w:rsidRPr="00000000">
        <w:rPr>
          <w:i w:val="1"/>
          <w:iCs w:val="1"/>
          <w:rtl w:val="0"/>
        </w:rPr>
        <w:t xml:space="preserve">International Journal of Modern Physics D</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 1530028. </w:t>
      </w:r>
      <w:hyperlink r:id="rId6">
        <w:r w:rsidDel="00000000" w:rsidR="00000000" w:rsidRPr="00000000">
          <w:rPr>
            <w:color w:val="0000ee"/>
            <w:u w:val="single"/>
            <w:rtl w:val="0"/>
          </w:rPr>
          <w:t xml:space="preserve">https://doi.org/10.1142/s0218271815300281</w:t>
        </w:r>
      </w:hyperlink>
      <w:r w:rsidDel="00000000" w:rsidR="00000000" w:rsidRPr="00000000">
        <w:rPr>
          <w:rtl w:val="0"/>
        </w:rPr>
        <w:t xml:space="preserve"> Cited by: 97</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Gotay, M. J., Grundling, H. B., &amp; Tuynman, G. M. (1996). Obstruction results in quantization theory. </w:t>
      </w:r>
      <w:r w:rsidDel="00000000" w:rsidR="00000000" w:rsidRPr="00000000">
        <w:rPr>
          <w:i w:val="1"/>
          <w:iCs w:val="1"/>
          <w:rtl w:val="0"/>
        </w:rPr>
        <w:t xml:space="preserve">Journal of Nonlinear Science</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 469–498. </w:t>
      </w:r>
      <w:hyperlink r:id="rId7">
        <w:r w:rsidDel="00000000" w:rsidR="00000000" w:rsidRPr="00000000">
          <w:rPr>
            <w:color w:val="0000ee"/>
            <w:u w:val="single"/>
            <w:rtl w:val="0"/>
          </w:rPr>
          <w:t xml:space="preserve">https://doi.org/10.1007/bf02440163</w:t>
        </w:r>
      </w:hyperlink>
      <w:r w:rsidDel="00000000" w:rsidR="00000000" w:rsidRPr="00000000">
        <w:rPr>
          <w:rtl w:val="0"/>
        </w:rPr>
        <w:t xml:space="preserve"> Cited by: 91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Verlinde, E. P. (2010). On the Origin of Gravity and the Laws of Newton. </w:t>
      </w:r>
      <w:r w:rsidDel="00000000" w:rsidR="00000000" w:rsidRPr="00000000">
        <w:rPr>
          <w:i w:val="1"/>
          <w:iCs w:val="1"/>
          <w:rtl w:val="0"/>
        </w:rPr>
        <w:t xml:space="preserve">JHEP 1104:029,2011</w:t>
      </w:r>
      <w:r w:rsidDel="00000000" w:rsidR="00000000" w:rsidRPr="00000000">
        <w:rPr>
          <w:rtl w:val="0"/>
        </w:rPr>
        <w:t xml:space="preserve">. </w:t>
      </w:r>
      <w:hyperlink r:id="rId8">
        <w:r w:rsidDel="00000000" w:rsidR="00000000" w:rsidRPr="00000000">
          <w:rPr>
            <w:color w:val="0000ee"/>
            <w:u w:val="single"/>
            <w:rtl w:val="0"/>
          </w:rPr>
          <w:t xml:space="preserve">https://doi.org/10.1007/JHEP04(2011)029</w:t>
        </w:r>
      </w:hyperlink>
      <w:r w:rsidDel="00000000" w:rsidR="00000000" w:rsidRPr="00000000">
        <w:rPr>
          <w:rtl w:val="0"/>
        </w:rPr>
        <w:t xml:space="preserve"> Cited by: 3458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Mäkelä, J., &amp; Peltola, A. (2009). Gravitation and thermodynamics: The Einstein equation of state revisited. </w:t>
      </w:r>
      <w:r w:rsidDel="00000000" w:rsidR="00000000" w:rsidRPr="00000000">
        <w:rPr>
          <w:i w:val="1"/>
          <w:iCs w:val="1"/>
          <w:rtl w:val="0"/>
        </w:rPr>
        <w:t xml:space="preserve">International Journal of Modern Physics D</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 669–689. </w:t>
      </w:r>
      <w:hyperlink r:id="rId9">
        <w:r w:rsidDel="00000000" w:rsidR="00000000" w:rsidRPr="00000000">
          <w:rPr>
            <w:color w:val="0000ee"/>
            <w:u w:val="single"/>
            <w:rtl w:val="0"/>
          </w:rPr>
          <w:t xml:space="preserve">https://doi.org/10.1142/s0218271809014698</w:t>
        </w:r>
      </w:hyperlink>
      <w:r w:rsidDel="00000000" w:rsidR="00000000" w:rsidRPr="00000000">
        <w:rPr>
          <w:rtl w:val="0"/>
        </w:rPr>
        <w:t xml:space="preserve"> Cited by: 11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Bufalo, R., Ghasemkhani, M., &amp; Soto, A. (2020). Adler-Bell-Jackiw anomaly in VSR electrodynamics. </w:t>
      </w:r>
      <w:r w:rsidDel="00000000" w:rsidR="00000000" w:rsidRPr="00000000">
        <w:rPr>
          <w:i w:val="1"/>
          <w:iCs w:val="1"/>
          <w:rtl w:val="0"/>
        </w:rPr>
        <w:t xml:space="preserve">arXiv</w:t>
      </w:r>
      <w:r w:rsidDel="00000000" w:rsidR="00000000" w:rsidRPr="00000000">
        <w:rPr>
          <w:rtl w:val="0"/>
        </w:rPr>
        <w:t xml:space="preserve">. </w:t>
      </w:r>
      <w:hyperlink r:id="rId10">
        <w:r w:rsidDel="00000000" w:rsidR="00000000" w:rsidRPr="00000000">
          <w:rPr>
            <w:color w:val="0000ee"/>
            <w:u w:val="single"/>
            <w:rtl w:val="0"/>
          </w:rPr>
          <w:t xml:space="preserve">https://doi.org/10.48550/arxiv.2011.10649</w:t>
        </w:r>
      </w:hyperlink>
      <w:r w:rsidDel="00000000" w:rsidR="00000000" w:rsidRPr="00000000">
        <w:rPr>
          <w:rtl w:val="0"/>
        </w:rPr>
        <w:t xml:space="preserve"> Cited by: 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48550/arxiv.2011.10649" TargetMode="External"/><Relationship Id="rId9" Type="http://schemas.openxmlformats.org/officeDocument/2006/relationships/hyperlink" Target="https://doi.org/10.1142/s0218271809014698" TargetMode="External"/><Relationship Id="rId5" Type="http://schemas.openxmlformats.org/officeDocument/2006/relationships/styles" Target="styles.xml"/><Relationship Id="rId6" Type="http://schemas.openxmlformats.org/officeDocument/2006/relationships/hyperlink" Target="https://doi.org/10.1142/s0218271815300281" TargetMode="External"/><Relationship Id="rId7" Type="http://schemas.openxmlformats.org/officeDocument/2006/relationships/hyperlink" Target="https://doi.org/10.1007/bf02440163" TargetMode="External"/><Relationship Id="rId8" Type="http://schemas.openxmlformats.org/officeDocument/2006/relationships/hyperlink" Target="https://doi.org/10.1007/JHEP04(2011)02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