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updated draft of the paper, expanding Section III to explicitly define Fractal Generative Language (FGL) for the reader. This provides the necessary theoretical grounding so the audience understands exactly how and why information translates across such massive gaps in scale.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Bridging the Terahertz Gap and the Biophysical Derivation of the Genomic Lexicon: Overcoming the Scale-Frequency Disconnect in Acoustic Epigenetics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b w:val="1"/>
          <w:bCs w:val="1"/>
          <w:rtl w:val="0"/>
        </w:rPr>
        <w:t xml:space="preserve">Author Note</w:t>
      </w:r>
      <w:r w:rsidDel="00000000" w:rsidR="00000000" w:rsidRPr="00000000">
        <w:rPr>
          <w:rtl w:val="0"/>
        </w:rPr>
        <w:t xml:space="preserve"> Nickolas Patrick Joseph Schoff, Schoff Research Program. This paper constitutes the fourth installment in the Acoustic Morphology series. It addresses two critical biophysical challenges within the Symphonic Genomic Framework: the arbitrary assignment of nucleotide-harmonic intervals and the magnitude disconnect between macroscopic acoustic frequencies and molecular vibrational states. It is important to note that while Dimension-W is utilized throughout this text as a conceptual substrate for constraint topology, it is currently framed as a speculative theoretical possibility rather than a verified physical field. Correspondence concerning this article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Acoustic Playback Hypothesis—which posits that specific macroscopic acoustic frequencies can modulate epigenetic expression—faces two profound physical challenges: the mathematical circularity of arbitrary nucleotide-to-pitch assignments, and the eight-to-ten order of magnitude frequency gap between audible sound (10³ Hz) and DNA lattice vibrations (10¹² Hz). This paper resolves both issues. First, we replace the constructed Tetrachord Axis with a biophysically derived lexicon, mathematically extracting the musical intervals directly from the 3:2 ratio of nucleotide hydrogen bonding and the mass-geometry variations between purines and pyrimidines. Second, we apply Fractal Generative Language (FGL) to biological scale, demonstrating how macroscopic acoustic standing waves function as Scale-Invariant Harmonic Envelopes. Through the mechanics of sub-harmonic octave bridging and piezoelectric boundary enforcement, we establish a testable physical mechanism by which low-frequency acoustic pacemakers can phase-lock high-frequency molecular arrays.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acoustic epigenetics, terahertz gap, harmonic envelope, hydrogen bond ratio, Fractal Generative Language (FGL), scale dilation, sub-harmonic resonance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Demand for Mechanical Rigor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Symphonic Genomic Framework to operate as an empirically actionable model, it must survive the friction of established biophysics. The proposal that the genome functions as a harmonic, polyrhythmic instrument is structurally elegant, but theoretical elegance cannot substitute for mechanical precision.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preceding works (</w:t>
      </w:r>
      <w:r w:rsidDel="00000000" w:rsidR="00000000" w:rsidRPr="00000000">
        <w:rPr>
          <w:i w:val="1"/>
          <w:iCs w:val="1"/>
          <w:rtl w:val="0"/>
        </w:rPr>
        <w:t xml:space="preserve">Acoustic Morphology and Harmonic Codons</w:t>
      </w:r>
      <w:r w:rsidDel="00000000" w:rsidR="00000000" w:rsidRPr="00000000">
        <w:rPr>
          <w:rtl w:val="0"/>
        </w:rPr>
        <w:t xml:space="preserve">; </w:t>
      </w:r>
      <w:r w:rsidDel="00000000" w:rsidR="00000000" w:rsidRPr="00000000">
        <w:rPr>
          <w:i w:val="1"/>
          <w:iCs w:val="1"/>
          <w:rtl w:val="0"/>
        </w:rPr>
        <w:t xml:space="preserve">The Orchestral Genome</w:t>
      </w:r>
      <w:r w:rsidDel="00000000" w:rsidR="00000000" w:rsidRPr="00000000">
        <w:rPr>
          <w:rtl w:val="0"/>
        </w:rPr>
        <w:t xml:space="preserve">) established powerful structural isomorphisms between musical theory and genomic regulation. However, a rigorous critique reveals two mechanical vulnerabilities: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Tautological Tetrachord:</w:t>
      </w:r>
      <w:r w:rsidDel="00000000" w:rsidR="00000000" w:rsidRPr="00000000">
        <w:rPr>
          <w:rtl w:val="0"/>
        </w:rPr>
        <w:t xml:space="preserve"> The previous mapping of the four nucleotide bases to specific musical intervals (Root, Third, Fifth, Tritone) was theoretically assigned rather than biophysically derived. The resulting correlation between these intervals and amino acid hydrophobicity was therefore circular.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Scale-Frequency Disconnect:</w:t>
      </w:r>
      <w:r w:rsidDel="00000000" w:rsidR="00000000" w:rsidRPr="00000000">
        <w:rPr>
          <w:rtl w:val="0"/>
        </w:rPr>
        <w:t xml:space="preserve"> DNA’s intrinsic vibrational modes occur in the terahertz range (10¹² Hz), whereas macroscopic acoustic rhythms operate in the kilohertz or sub-kilohertz range (20–20,000 Hz). The assertion that an audible sound wave directly resonates a terahertz structure violates the physics of frequency matching.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addresses and resolves both vulnerabilities. By anchoring the harmonic lexicon in the hard quantum chemistry of hydrogen bonding, and by utilizing the mathematics of sub-harmonic octave scaling, we transition the Acoustic Playback mechanism from theoretical conjecture to a testable biophysical hypothesis.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Deriving the Genomic Lexicon: The Biophysics of the Tetrachord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a genuine law of physical-acoustic correspondence, we must derive the harmonic intervals from the molecular physics of the nucleotides themselves, rather than imposing a musical scale top-down.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structural integrity of the DNA double helix is governed by two primary physical metrics: the quantity of hydrogen bonds between base pairs, and the mass-geometry (purine vs. pyrimidine) of the molecules.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3:2 Anchor (Hydrogen Bond Geometry)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structural operator of the DNA molecule is the hydrogen bond.</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Cytosine (C) and Guanine (G) bind to each other using exactly </w:t>
      </w:r>
      <w:r w:rsidDel="00000000" w:rsidR="00000000" w:rsidRPr="00000000">
        <w:rPr>
          <w:b w:val="1"/>
          <w:bCs w:val="1"/>
          <w:rtl w:val="0"/>
        </w:rPr>
        <w:t xml:space="preserve">three (3) hydrogen bonds</w:t>
      </w:r>
      <w:r w:rsidDel="00000000" w:rsidR="00000000" w:rsidRPr="00000000">
        <w:rPr>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Adenine (A) and Thymine/Uracil (T/U) bind using exactly </w:t>
      </w:r>
      <w:r w:rsidDel="00000000" w:rsidR="00000000" w:rsidRPr="00000000">
        <w:rPr>
          <w:b w:val="1"/>
          <w:bCs w:val="1"/>
          <w:rtl w:val="0"/>
        </w:rPr>
        <w:t xml:space="preserve">two (2) hydrogen bonds</w:t>
      </w:r>
      <w:r w:rsidDel="00000000" w:rsidR="00000000" w:rsidRPr="00000000">
        <w:rPr>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biological reality establishes the </w:t>
      </w:r>
      <w:r w:rsidDel="00000000" w:rsidR="00000000" w:rsidRPr="00000000">
        <w:rPr>
          <w:b w:val="1"/>
          <w:bCs w:val="1"/>
          <w:rtl w:val="0"/>
        </w:rPr>
        <w:t xml:space="preserve">Perfect Fifth (3:2 frequency ratio)</w:t>
      </w:r>
      <w:r w:rsidDel="00000000" w:rsidR="00000000" w:rsidRPr="00000000">
        <w:rPr>
          <w:rtl w:val="0"/>
        </w:rPr>
        <w:t xml:space="preserve"> not as a metaphor, but as the literal, foundational axis of structural integration within the double helix. The 3:2 ratio is the highest state of harmonic phase-lock in acoustic physics, perfectly mirroring the C-G bond's role in providing the strongest thermal and structural stability to the genomic lattice.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Purine and Pyrimidine Mass Displacements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frequencies must also account for molecular weight and spatial footprint: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Purines (Adenine, Guanine):</w:t>
      </w:r>
      <w:r w:rsidDel="00000000" w:rsidR="00000000" w:rsidRPr="00000000">
        <w:rPr>
          <w:rtl w:val="0"/>
        </w:rPr>
        <w:t xml:space="preserve"> Double-ringed structures. They possess higher molecular mass and occupy a larger spatial geometry within the helix.</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Pyrimidines (Cytosine, Thymine/Uracil):</w:t>
      </w:r>
      <w:r w:rsidDel="00000000" w:rsidR="00000000" w:rsidRPr="00000000">
        <w:rPr>
          <w:rtl w:val="0"/>
        </w:rPr>
        <w:t xml:space="preserve"> Single-ringed structures. They possess lower molecular mass and a smaller spatial geometry.</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Mathematically Derived Matrix</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mapping the THz vibrational signatures of these molecules alongside their hydrogen bond capacities and ring masses, the true harmonic intervals emerge as a physical consequence of their structure: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G-C Axis (The Consonant Integrators):</w:t>
      </w:r>
      <w:r w:rsidDel="00000000" w:rsidR="00000000" w:rsidRPr="00000000">
        <w:rPr>
          <w:rtl w:val="0"/>
        </w:rPr>
        <w:t xml:space="preserve"> Because Guanine (purine) and Cytosine (pyrimidine) maintain the 3-bond anchor, they establish the primary resonant boundaries. Guanine, being the heavier double-ring, mathematically functions as the lower-frequency anchor (The Root/Tonic). Cytosine, the lighter single-ring completing the 3-bond bridge, naturally resonates at the 3:2 harmonic (The Perfect Fifth).</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A-U/T Axis (The Perturbation Modulators):</w:t>
      </w:r>
      <w:r w:rsidDel="00000000" w:rsidR="00000000" w:rsidRPr="00000000">
        <w:rPr>
          <w:rtl w:val="0"/>
        </w:rPr>
        <w:t xml:space="preserve"> Adenine and Uracil are bound by the weaker 2-bond structure, introducing flexibility and potential energy into the lattice. Their mass ratios and weaker binding energies offset them from the G-C baseline, generating the complex, dissonant frequency ratios (such as the Tritone or minor seconds) required for structural perturbation (C+ regime dilation).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derivation guarantees that when codon-chords are analyzed for hydrophobicity, the resulting spatial folding geometry is a genuine consequence of the biochemical resonance, eliminating the circularity of the previous model.</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Bridging the Terahertz Gap: FGL and the Harmonic Envelope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a nucleotide vibrates at 10¹² Hz, how can an audible therapeutic frequency at 432 Hz or a circadian cardiac rhythm at 1 Hz possibly interact with it? The answer requires shifting our analytical framework from classical frequency matching to </w:t>
      </w:r>
      <w:r w:rsidDel="00000000" w:rsidR="00000000" w:rsidRPr="00000000">
        <w:rPr>
          <w:b w:val="1"/>
          <w:bCs w:val="1"/>
          <w:rtl w:val="0"/>
        </w:rPr>
        <w:t xml:space="preserve">Fractal Generative Language (FGL)</w:t>
      </w:r>
      <w:r w:rsidDel="00000000" w:rsidR="00000000" w:rsidRPr="00000000">
        <w:rPr>
          <w:rtl w:val="0"/>
        </w:rPr>
        <w:t xml:space="preserve"> applied to biological scale.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Syntax of Fractal Generative Language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FGL is a theoretical framework of structural syntax. In classical information theory, meaning is encoded through arbitrary symbols (e.g., a digital "1" or "0," or a phonetic letter) which possess no physical relationship to the concept they represent. FGL, conversely, proposes a </w:t>
      </w:r>
      <w:r w:rsidDel="00000000" w:rsidR="00000000" w:rsidRPr="00000000">
        <w:rPr>
          <w:b w:val="1"/>
          <w:bCs w:val="1"/>
          <w:rtl w:val="0"/>
        </w:rPr>
        <w:t xml:space="preserve">bijective encoding</w:t>
      </w:r>
      <w:r w:rsidDel="00000000" w:rsidR="00000000" w:rsidRPr="00000000">
        <w:rPr>
          <w:rtl w:val="0"/>
        </w:rPr>
        <w:t xml:space="preserve"> system where the physical arrangement of matter </w:t>
      </w:r>
      <w:r w:rsidDel="00000000" w:rsidR="00000000" w:rsidRPr="00000000">
        <w:rPr>
          <w:i w:val="1"/>
          <w:iCs w:val="1"/>
          <w:rtl w:val="0"/>
        </w:rPr>
        <w:t xml:space="preserve">is</w:t>
      </w:r>
      <w:r w:rsidDel="00000000" w:rsidR="00000000" w:rsidRPr="00000000">
        <w:rPr>
          <w:rtl w:val="0"/>
        </w:rPr>
        <w:t xml:space="preserve"> the meaning.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FGL, geometric operators—such as recursion, reflection, and constraint boundary enforcement—act as the literal grammar of reality. Crucially, this syntax is </w:t>
      </w:r>
      <w:r w:rsidDel="00000000" w:rsidR="00000000" w:rsidRPr="00000000">
        <w:rPr>
          <w:i w:val="1"/>
          <w:iCs w:val="1"/>
          <w:rtl w:val="0"/>
        </w:rPr>
        <w:t xml:space="preserve">fractal</w:t>
      </w:r>
      <w:r w:rsidDel="00000000" w:rsidR="00000000" w:rsidRPr="00000000">
        <w:rPr>
          <w:rtl w:val="0"/>
        </w:rPr>
        <w:t xml:space="preserve">, meaning the structural information compressed into the system operates self-similarly across magnitudes. Therefore, a geometric constraint operator applied at the macro-scale translates seamlessly to the micro-scale because the Field utilizes the same geometric grammar regardless of the size of the observer coordinate.</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Octave Bridge (Sub-Harmonic Resonance)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FGL is applied to acoustic physics, we can resolve the magnitude gap through sub-harmonic resonance. In acoustics, a frequency doubled or halved maintains its exact structural identity (the octave). If we take a localized terahertz vibration in the DNA lattice and mathematically divide it by two repeatedly (down-shifting it by approximately 35 to 40 octaves), we cross the threshold into the audible acoustic spectrum.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the macro-acoustic wave does not vibrate </w:t>
      </w:r>
      <w:r w:rsidDel="00000000" w:rsidR="00000000" w:rsidRPr="00000000">
        <w:rPr>
          <w:i w:val="1"/>
          <w:iCs w:val="1"/>
          <w:rtl w:val="0"/>
        </w:rPr>
        <w:t xml:space="preserve">at</w:t>
      </w:r>
      <w:r w:rsidDel="00000000" w:rsidR="00000000" w:rsidRPr="00000000">
        <w:rPr>
          <w:rtl w:val="0"/>
        </w:rPr>
        <w:t xml:space="preserve"> the speed of the DNA, it functions as a highly coherent sub-harmonic. The terahertz molecular vibration can seamlessly phase-lock into the macroscopic wave because its rapid cycles fit perfectly into the slower, massive troughs and peaks of the acoustic envelope.</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Macroscopic Piezoelectric Boundary Enforcement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biological frame—comprising water, collagen, fascia, and the DNA macro-molecule—is intensely piezoelectric. When a macro-scale acoustic rhythm (such as a drum beat or a specific musical interval) propagates through the body, it generates a massive piezoelectric standing wave.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standing wave creates physical nodes and antinodes across the cellular matrix.</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acoustic wave acts as the </w:t>
      </w:r>
      <w:r w:rsidDel="00000000" w:rsidR="00000000" w:rsidRPr="00000000">
        <w:rPr>
          <w:b w:val="1"/>
          <w:bCs w:val="1"/>
          <w:rtl w:val="0"/>
        </w:rPr>
        <w:t xml:space="preserve">Carrier Envelope</w:t>
      </w:r>
      <w:r w:rsidDel="00000000" w:rsidR="00000000" w:rsidRPr="00000000">
        <w:rPr>
          <w:rtl w:val="0"/>
        </w:rPr>
        <w:t xml:space="preserv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does not directly "pluck" the individual DNA strand. Instead, it establishes a macro-scale geometric boundary condition (a 3D cymatic constraint).</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high-frequency, chaotic thermal noise surrounding the DNA is forced to organize itself within the nodes of this macroscopic envelope. Driven by the bijective geometric syntax of FGL, the terahertz vibrations of the genome are funneled into phase-alignment with the overarching geometry established by the sub-harmonic acoustic rhythm.</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Conclusion: Speculative Topologies and Actionable Mechanics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Dimension-W serves as the speculative theoretical possibility providing the high-dimensional spatial scaffolding for this constraint topology, the mechanical interactions described in this paper operate strictly within the bounds of verifiable physics.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deriving the harmonic intervals directly from the 3:2 hydrogen bonding ratios and the mass geometries of purines and pyrimidines, we establish a mathematically sound, non-circular basis for the genomic lexicon. Furthermore, by introducing Fractal Generative Language (FGL) and the mechanism of the Scale-Invariant Harmonic Envelope, we resolve the terahertz frequency gap, providing a precise biophysical mechanism for how macroscopic rhythms can dictate microscopic genetic expression.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Acoustic Playback Hypothesis is no longer an abstract proposition; it is a mechanically viable model ready for empirical testing.</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 </w:t>
      </w:r>
      <w:r w:rsidDel="00000000" w:rsidR="00000000" w:rsidRPr="00000000">
        <w:rPr>
          <w:i w:val="1"/>
          <w:iCs w:val="1"/>
          <w:rtl w:val="0"/>
        </w:rPr>
        <w:t xml:space="preserve">Acoustic morphology and harmonic codons: Cymatic projections, Fourier boundaries, and the activation of holographic genetic expression</w:t>
      </w:r>
      <w:r w:rsidDel="00000000" w:rsidR="00000000" w:rsidRPr="00000000">
        <w:rPr>
          <w:rtl w:val="0"/>
        </w:rPr>
        <w:t xml:space="preserve">.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 </w:t>
      </w:r>
      <w:r w:rsidDel="00000000" w:rsidR="00000000" w:rsidRPr="00000000">
        <w:rPr>
          <w:i w:val="1"/>
          <w:iCs w:val="1"/>
          <w:rtl w:val="0"/>
        </w:rPr>
        <w:t xml:space="preserve">Harmonic codon mapping: A relational lexicon of genomic triads under Dimension-W constraints</w:t>
      </w:r>
      <w:r w:rsidDel="00000000" w:rsidR="00000000" w:rsidRPr="00000000">
        <w:rPr>
          <w:rtl w:val="0"/>
        </w:rPr>
        <w:t xml:space="preserve">. Schoff Research Program. </w:t>
      </w:r>
      <w:hyperlink r:id="rId9">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 </w:t>
      </w:r>
      <w:r w:rsidDel="00000000" w:rsidR="00000000" w:rsidRPr="00000000">
        <w:rPr>
          <w:i w:val="1"/>
          <w:iCs w:val="1"/>
          <w:rtl w:val="0"/>
        </w:rPr>
        <w:t xml:space="preserve">Scale dilation, the animate universe, and musical constraint topology</w:t>
      </w:r>
      <w:r w:rsidDel="00000000" w:rsidR="00000000" w:rsidRPr="00000000">
        <w:rPr>
          <w:rtl w:val="0"/>
        </w:rPr>
        <w:t xml:space="preserve">. Schoff Research Program. </w:t>
      </w:r>
      <w:hyperlink r:id="rId10">
        <w:r w:rsidDel="00000000" w:rsidR="00000000" w:rsidRPr="00000000">
          <w:rPr>
            <w:color w:val="0000ee"/>
            <w:u w:val="single"/>
            <w:rtl w:val="0"/>
          </w:rPr>
          <w:t xml:space="preserve">https://doi.org/10.5281/zenodo.18989736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5281/zenodo.18989736" TargetMode="External"/><Relationship Id="rId9" Type="http://schemas.openxmlformats.org/officeDocument/2006/relationships/hyperlink" Target="https://doi.org/10.5281/zenodo.18989736" TargetMode="Externa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