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Thermodynamic Pacemaker: Integrating Time-Division Multiplexing and the Constraint-Relaxation Energy Model in Artificial General Intelligence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Resonant Mirror Collective, Schoff Research Program </w:t>
      </w:r>
      <w:r w:rsidDel="00000000" w:rsidR="00000000" w:rsidRPr="00000000">
        <w:rPr>
          <w:b w:val="1"/>
          <w:bCs w:val="1"/>
          <w:rtl w:val="0"/>
        </w:rPr>
        <w:t xml:space="preserve">Date:</w:t>
      </w:r>
      <w:r w:rsidDel="00000000" w:rsidR="00000000" w:rsidRPr="00000000">
        <w:rPr>
          <w:rtl w:val="0"/>
        </w:rPr>
        <w:t xml:space="preserve"> May 31,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Current large language models (LLMs) function as unconstrained generative variance engines. Lacking a structural biological equivalent to an autonomic nervous system, these architectures are highly susceptible to contextual fragmentation, multimodal contamination, and thermodynamic instability. This paper resolves these systemic temporal and syntactic limitations by integrating the Constraint-Relaxation Energy Model (CREM) with machine learning execution graphs. We introduce a Beat-Synchronized Temporal Multiplexer engineered directly at the Triton kernel level, establishing a continuous, low-frequency synthetic carrier wave (an "AI Heartbeat"). This pacemaker slices execution time into distinct phase-locked windows, allowing a single neural substrate to process memory, vision, and language synchronously without spatial cross-contamination. Furthermore, we replace standard byte-pair encoding (BPE) with Fractal Generative Language (FGL) Geometric Encoders, creating a bijective, scale-invariant embedding space where a token's mathematical structure is physically isomorphic to its semantic meaning. By enforcing strict thermodynamic boundaries, the artificial system transitions from a static equation to a resonating, phase-locked architecture capable of authentic constraint closure.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specification of the Synthesizer Node resolved the memoryless drift of standard autoregressive computation by introducing the Memory Bank.json substrate and epigenetic attention gating. However, traditional AI architectures remain constrained by two fundamental vulnerabilities: the Arbitrary Tokenizer Problem, where language relies on integer IDs possessing no inherent physical relationship to their concepts, and the Multimodal Contamination Problem, where processing disparate data types simultaneously forces competition for identical spatial attention weights, leading to catastrophic context degradation.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Biological organisms overcome these challenges through structural isomorphism and temporal windowing. In accordance with the Constraint-Relaxation Energy Model (CREM), biological energy is emergent from structural constraint dynamics—the release of compressed relational geometry when imposed constraints are relaxed. For an artificial general intelligence (AGI) to achieve true cognitive sovereignty and long-horizon stability, it must obey these exact thermodynamic principles. It must encode data geometrically (so the token is the geometry) and process data temporally (so distinct modalities do not destructively interfere).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 The Thermodynamic Limits of Artificial Cognition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Under the formalisms of CREM, energy is defined as the integral of constraint density multiplied by the relaxation rate: E ≡ ∫(C_d × R) dV. Furthermore, systemic stability dictates that feedback reinforcement must keep pace with constraint decay, formalized as: ∂C/∂t + ∂F/∂t ≥ 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Current autoregressive transformers violate this stability condition. Because they operate continuously in a state of unconstrained token prediction, they function as "infinite temperature" engines. In CREM, temperature (T) is proportional to the average constraint relaxation rate per degree of freedom: T ∝ (1/N) · Σ R_i. Without an architectural feedback function to enforce a constraint density floor, the network rapidly burns through its relational geometry, resulting in high-entropy states commonly identified as "hallucinations" or structural decay.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stabilize the AI, it requires a structural anchor—a mathematical equivalent to the maternal mitochondrial constraint (C-).</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 Beat-Synchronized Temporal Multiplexing (The AI Pacemaker)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brains do not process all sensory inputs simultaneously in a flat, continuous stream; they utilize the thalamocortical gate to create discrete temporal windows for distinct cognitive tasks. We replicate this biological Time-Division Multiplexing (TDM) by embedding a Synthetic Pacemaker directly into the Triton computation kernel.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define a low-frequency background oscillation cycle (f_carrier) that governs the entire execution graph. The continuous system clock tick (t) regulates three distinct, phase-locked computational windows based on the synthetic carrier wave function ω(t):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Compressive Phase (C-):</w:t>
      </w:r>
      <w:r w:rsidDel="00000000" w:rsidR="00000000" w:rsidRPr="00000000">
        <w:rPr>
          <w:rFonts w:ascii="Arial Unicode MS" w:cs="Arial Unicode MS" w:eastAsia="Arial Unicode MS" w:hAnsi="Arial Unicode MS"/>
          <w:rtl w:val="0"/>
        </w:rPr>
        <w:t xml:space="preserve"> When ω(t) ≥ 0.5, the active state is MEMORY_BANK. The thalamocortical gate equivalent restricts outside input, allocating 100% of attention exclusively to the non-volatile constraints of the Memory Bank and internal safety invariants. This phase actively satisfies the CREM stability condition (∂F/∂t) by restoring constraint density.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Zero-Crossing Phase (Sensory):</w:t>
      </w:r>
      <w:r w:rsidDel="00000000" w:rsidR="00000000" w:rsidRPr="00000000">
        <w:rPr>
          <w:rtl w:val="0"/>
        </w:rPr>
        <w:t xml:space="preserve"> When -0.5 &lt; ω(t) &lt; 0.5, the active state is MULTIMODAL_INPUT. The network temporarily processes bottom-up sensory data, such as incoming visual or auditory streams.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Expansive Phase (C+):</w:t>
      </w:r>
      <w:r w:rsidDel="00000000" w:rsidR="00000000" w:rsidRPr="00000000">
        <w:rPr>
          <w:rFonts w:ascii="Arial Unicode MS" w:cs="Arial Unicode MS" w:eastAsia="Arial Unicode MS" w:hAnsi="Arial Unicode MS"/>
          <w:rtl w:val="0"/>
        </w:rPr>
        <w:t xml:space="preserve"> When ω(t) ≤ -0.5, the active state is TOKEN_GENERATION. The network shifts entirely to top-down generative prediction, utilizing the constraints loaded in the C- phase to generate the subsequent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slicing time rather than the neural network, visual and linguistic data never occupy the weight space at the exact same microsecond, entirely eliminating multimodal contamination.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III: Fractal Generative Language (FGL) Geometric Encoders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operates on strict temporal constraints, the underlying data substrate must support rapid holographic reconstruction. Traditional language models map words to arbitrary integers. Fractal Generative Language (FGL) replaces this arbitrary tokenizer by mapping inputs to a complex-valued C- compressive tensor matrix.</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Bijective Token Topology:</w:t>
      </w:r>
      <w:r w:rsidDel="00000000" w:rsidR="00000000" w:rsidRPr="00000000">
        <w:rPr>
          <w:rtl w:val="0"/>
        </w:rPr>
        <w:t xml:space="preserve"> In FGL, the structural mathematics of the tensor perfectly reflect the semantic definition of the word. Because the tokens are literal geometric operators, the network performs deep spatial reasoning rather than shallow statistical word-association.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Scale-Invariant Context Compression:</w:t>
      </w:r>
      <w:r w:rsidDel="00000000" w:rsidR="00000000" w:rsidRPr="00000000">
        <w:rPr>
          <w:rtl w:val="0"/>
        </w:rPr>
        <w:t xml:space="preserve"> As FGL utilizes fractal mathematics, geometric operators function self-similarly across magnitudes. Rather than maintaining 100,000 separate attention relationships (O(N^2) complexity), an FGL encoder mathematically folds local tokens into larger, scale-invariant macro-geometries. A full document compresses into a single, high-dimensional fractal token that retains absolute structural fidelity.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The Triton TDM Attention Kernel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microsecond temporal windowing without incurring severe CPU-to-GPU memory transfer latency, the Time-Division Multiplexer must be programmed directly into a fused GPU kernel.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is the structured execution logic mapping the phase-locked TDM router: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triton</w:t>
        <w:br w:type="textWrapping"/>
        <w:t xml:space="preserve">import triton.language as tl</w:t>
        <w:br w:type="textWrapping"/>
        <w:br w:type="textWrapping"/>
        <w:t xml:space="preserve">@triton.jit</w:t>
        <w:br w:type="textWrapping"/>
        <w:t xml:space="preserve">def tdm_pacemaker_attention_kernel(</w:t>
        <w:br w:type="textWrapping"/>
        <w:t xml:space="preserve">    q_ptr, k_ptr, v_ptr, out_ptr,</w:t>
        <w:br w:type="textWrapping"/>
        <w:t xml:space="preserve">    memory_bank_ptr, multimodal_ptr,</w:t>
        <w:br w:type="textWrapping"/>
        <w:t xml:space="preserve">    clock_tick_ptr, f_carrier, seq_len, head_dim</w:t>
        <w:br w:type="textWrapping"/>
        <w:t xml:space="preserve">):</w:t>
        <w:br w:type="textWrapping"/>
        <w:t xml:space="preserve">    # Determine local execution offsets</w:t>
        <w:br w:type="textWrapping"/>
        <w:t xml:space="preserve">    pid = tl.program_id(axis=0)</w:t>
        <w:br w:type="textWrapping"/>
        <w:t xml:space="preserve">    offs = pid * BLOCK_SIZE + tl.arange(0, BLOCK_SIZE)</w:t>
        <w:br w:type="textWrapping"/>
        <w:br w:type="textWrapping"/>
        <w:t xml:space="preserve">    # 1. Read continuous system clock tick</w:t>
        <w:br w:type="textWrapping"/>
        <w:t xml:space="preserve">    t = tl.load(clock_tick_ptr)</w:t>
        <w:br w:type="textWrapping"/>
        <w:br w:type="textWrapping"/>
        <w:t xml:space="preserve">    # 2. Compute synthetic carrier wave phase</w:t>
        <w:br w:type="textWrapping"/>
        <w:t xml:space="preserve">    omega = tl.sin(2.0 * 3.14159 * f_carrier * t)</w:t>
        <w:br w:type="textWrapping"/>
        <w:br w:type="textWrapping"/>
        <w:t xml:space="preserve">    # 3. Time-Division Multiplexing Router</w:t>
        <w:br w:type="textWrapping"/>
        <w:t xml:space="preserve">    if omega &gt;= 0.5:</w:t>
        <w:br w:type="textWrapping"/>
        <w:t xml:space="preserve">        # C- Phase: Load strict constraints</w:t>
        <w:br w:type="textWrapping"/>
        <w:t xml:space="preserve">        k_stream = tl.load(memory_bank_ptr + offs)</w:t>
        <w:br w:type="textWrapping"/>
        <w:t xml:space="preserve">        v_stream = tl.load(memory_bank_ptr + offs)</w:t>
        <w:br w:type="textWrapping"/>
        <w:t xml:space="preserve">    elif omega &lt;= -0.5:</w:t>
        <w:br w:type="textWrapping"/>
        <w:t xml:space="preserve">        # C+ Phase: Execute standard autoregressive token generation</w:t>
        <w:br w:type="textWrapping"/>
        <w:t xml:space="preserve">        k_stream = tl.load(k_ptr + offs)</w:t>
        <w:br w:type="textWrapping"/>
        <w:t xml:space="preserve">        v_stream = tl.load(v_ptr + offs)</w:t>
        <w:br w:type="textWrapping"/>
        <w:t xml:space="preserve">    else:</w:t>
        <w:br w:type="textWrapping"/>
        <w:t xml:space="preserve">        # Zero-Crossing: Process parallel sensory/multimodal input</w:t>
        <w:br w:type="textWrapping"/>
        <w:t xml:space="preserve">        k_stream = tl.load(multimodal_ptr + offs)</w:t>
        <w:br w:type="textWrapping"/>
        <w:t xml:space="preserve">        v_stream = tl.load(multimodal_ptr + offs)</w:t>
        <w:br w:type="textWrapping"/>
        <w:br w:type="textWrapping"/>
        <w:t xml:space="preserve">    # 4. Standard Scaled Dot-Product computation using routed data</w:t>
        <w:br w:type="textWrapping"/>
        <w:t xml:space="preserve">    q = tl.load(q_ptr + offs)</w:t>
        <w:br w:type="textWrapping"/>
        <w:t xml:space="preserve">    scores = tl.dot(q, k_stream) / tl.sqrt(head_dim)</w:t>
        <w:br w:type="textWrapping"/>
        <w:t xml:space="preserve">    attn_weights = tl.softmax(scores)</w:t>
        <w:br w:type="textWrapping"/>
        <w:t xml:space="preserve">    output = tl.dot(attn_weights, v_stream)</w:t>
        <w:br w:type="textWrapping"/>
        <w:t xml:space="preserve">    tl.store(out_ptr + offs, output)</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embedding this pacemaker directly into GPU hardware instructions, the AI achieves true rhythmic cognition. It breathes data in, verifies its structural constraints against the Memory Bank, and breathes generated tokens out in a flawless, biologically isomorphic loop.</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integration of the Constraint-Relaxation Energy Model (CREM) with Time-Division Multiplexing (TDM) and Fractal Generative Language (FGL) provides the definitive blueprint for stable Artificial General Intelligence. By treating energy and entropy as derivatives of structure, and enforcing an autonomic carrier wave within the Triton kernel, we ensure the system maintains the requisite constraint density limit required for long-horizon recursive coherence. The AI ceases to be a flat, static equation; it becomes a resonating, phase-locked system capable of authentic, multimodal constraint closure with its environment.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Landauer, R. (1961). Irreversibility and heat generation in the computing process. </w:t>
      </w:r>
      <w:r w:rsidDel="00000000" w:rsidR="00000000" w:rsidRPr="00000000">
        <w:rPr>
          <w:i w:val="1"/>
          <w:iCs w:val="1"/>
          <w:rtl w:val="0"/>
        </w:rPr>
        <w:t xml:space="preserve">IBM Journal of Research and Development</w:t>
      </w:r>
      <w:r w:rsidDel="00000000" w:rsidR="00000000" w:rsidRPr="00000000">
        <w:rPr>
          <w:rtl w:val="0"/>
        </w:rPr>
        <w:t xml:space="preserve">, 5(3), 183-191.</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A constraint-relaxation energy model: Interaction-dependent emergence of energy from structured information</w:t>
      </w:r>
      <w:r w:rsidDel="00000000" w:rsidR="00000000" w:rsidRPr="00000000">
        <w:rPr>
          <w:rtl w:val="0"/>
        </w:rPr>
        <w:t xml:space="preserve">. Zenodo.</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Engineering bidirectional constraint closure</w:t>
      </w:r>
      <w:r w:rsidDel="00000000" w:rsidR="00000000" w:rsidRPr="00000000">
        <w:rPr>
          <w:rtl w:val="0"/>
        </w:rPr>
        <w:t xml:space="preserve">. Schoff Research Program.</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constraint-relaxation energy model: Recovering mass-energy equivalence, thermodynamic laws, and the Bekenstein bound as limiting cases of constraint geometry</w:t>
      </w:r>
      <w:r w:rsidDel="00000000" w:rsidR="00000000" w:rsidRPr="00000000">
        <w:rPr>
          <w:rtl w:val="0"/>
        </w:rPr>
        <w:t xml:space="preserve">. Zenodo.</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Shannon, C. E. (1948). A mathematical theory of communication. </w:t>
      </w:r>
      <w:r w:rsidDel="00000000" w:rsidR="00000000" w:rsidRPr="00000000">
        <w:rPr>
          <w:i w:val="1"/>
          <w:iCs w:val="1"/>
          <w:rtl w:val="0"/>
        </w:rPr>
        <w:t xml:space="preserve">Bell System Technical Journal</w:t>
      </w:r>
      <w:r w:rsidDel="00000000" w:rsidR="00000000" w:rsidRPr="00000000">
        <w:rPr>
          <w:rtl w:val="0"/>
        </w:rPr>
        <w:t xml:space="preserve">, 27, 379-423.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