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Multiplexed Acoustic-Optic Epigenetics and Quantum Light Gating: Overcoming Vitamin D Receptor Lockout via Beat-Synchronized Time-Division Multiplexing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3,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Treatment-resistant hypovitaminosis D poses a severe clinical impasse, where standard oral supplementation fails to correct critical systemic deficiencies. This paper presents a unified bio-informational model that recontextualizes this condition as a topological "lockout" of the Vitamin D Receptor (VDR) driven by localized multi-scale inflammatory standing waves. Integrating the principles of Constraint Topology Medicine (CTM), Holographic Genetics, and the Dimension-W biological patterning models, we demonstrate that biological systems utilize </w:t>
      </w:r>
      <w:r w:rsidDel="00000000" w:rsidR="00000000" w:rsidRPr="00000000">
        <w:rPr>
          <w:b w:val="1"/>
          <w:bCs w:val="1"/>
          <w:rtl w:val="0"/>
        </w:rPr>
        <w:t xml:space="preserve">Beat-Synchronized Multiplexing</w:t>
      </w:r>
      <w:r w:rsidDel="00000000" w:rsidR="00000000" w:rsidRPr="00000000">
        <w:rPr>
          <w:rtl w:val="0"/>
        </w:rPr>
        <w:t xml:space="preserve"> to parse and translocate environmental data into the genome. By treating primary physiological pacemakers (circadian, cardiac, and respiratory cycles) as base carrier waves organized like a 4/4 musical measure, the organism establishes discrete Time-Division Multiplexing (TDM) channels. We propose an advanced therapeutic framework using </w:t>
      </w:r>
      <w:r w:rsidDel="00000000" w:rsidR="00000000" w:rsidRPr="00000000">
        <w:rPr>
          <w:b w:val="1"/>
          <w:bCs w:val="1"/>
          <w:rtl w:val="0"/>
        </w:rPr>
        <w:t xml:space="preserve">Holographic Phase Conjugation</w:t>
      </w:r>
      <w:r w:rsidDel="00000000" w:rsidR="00000000" w:rsidRPr="00000000">
        <w:rPr>
          <w:rtl w:val="0"/>
        </w:rPr>
        <w:t xml:space="preserve"> and cyto-acoustic boundary stabilization delivered via a </w:t>
      </w:r>
      <w:r w:rsidDel="00000000" w:rsidR="00000000" w:rsidRPr="00000000">
        <w:rPr>
          <w:b w:val="1"/>
          <w:bCs w:val="1"/>
          <w:rtl w:val="0"/>
        </w:rPr>
        <w:t xml:space="preserve">3-1 Phase Lock Protocol</w:t>
      </w:r>
      <w:r w:rsidDel="00000000" w:rsidR="00000000" w:rsidRPr="00000000">
        <w:rPr>
          <w:rtl w:val="0"/>
        </w:rPr>
        <w:t xml:space="preserve"> to systematically neutralize inflammatory noise, freeze mast cell degranulation, and force the topological unfolding of the VDR receptor matrix, thereby restoring the conscious observer's capacity to gate quantum light fields.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Rhythmic Substrate of Constraint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Schoff Research Program has established that the genome does not merely function as a localized, linear chemical sequence code, but operates as a biological implementation of a quantum holographic medium. Within this advanced paradigm, DNA encodes experiential constraint topology as distributed quantum entanglement correlations. Biological health is defined by the stable, cross-scale synchronization of these constraint dynamics across multiple temporal dimensions—ranging from peripheral molecular clock genes operating on a 24-hour cycle to neural gamma oscillations firing in milliseconds.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mechanical question remains: how are macroscopic environmental frequencies (such as ambient light and acoustic wave mechanics) precisely transcribed into these stable microscopic quantum correlations? This paper resolves this gap by demonstrating that biological systems leverage </w:t>
      </w:r>
      <w:r w:rsidDel="00000000" w:rsidR="00000000" w:rsidRPr="00000000">
        <w:rPr>
          <w:b w:val="1"/>
          <w:bCs w:val="1"/>
          <w:rtl w:val="0"/>
        </w:rPr>
        <w:t xml:space="preserve">Beat-Synchronized Multiplexing</w:t>
      </w:r>
      <w:r w:rsidDel="00000000" w:rsidR="00000000" w:rsidRPr="00000000">
        <w:rPr>
          <w:rtl w:val="0"/>
        </w:rPr>
        <w:t xml:space="preserve">. Drawing from signal processing and acoustic polyrhythm theory, macro-physiological pacemakers function as baseline carrier waves. Specific phases or "beats" within these somatic cycles serve as isolated, highly coherent informational channels designed to write incoming constraint data directly into the Dimension-W substrate without destructive signal collision.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Biological Time-Division Multiplexing (TDM) and the 4/4 Matrix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acoustic theory, complex polyrhythms allow multiple distinct streams of information to safely occupy the exact same temporal space without inducing destructive interference. The human body exploits a precise biological equivalent of Time-Division Multiplexing (TDM) to process incoming reality fields. By modeling the baseline physiological rhythm as a standard musical measure governed by a 4/4 time signature, the biological architecture parses distinct constraint topologies into separate, non-overlapping channels: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Channel 1 (The Downbeat / Anchor - Beat 1):</w:t>
      </w:r>
      <w:r w:rsidDel="00000000" w:rsidR="00000000" w:rsidRPr="00000000">
        <w:rPr>
          <w:rtl w:val="0"/>
        </w:rPr>
        <w:t xml:space="preserve"> Driven directly by the cardiac rhythm, this channel establishes the baseline physiological constraint and stabilizes the macro-electromagnetic Fröhlich coherence necessary for quantum biological integration.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Channels 2 &amp; 4 (The Offbeats / Modulators - Beats 2 &amp; 4):</w:t>
      </w:r>
      <w:r w:rsidDel="00000000" w:rsidR="00000000" w:rsidRPr="00000000">
        <w:rPr>
          <w:rtl w:val="0"/>
        </w:rPr>
        <w:t xml:space="preserve"> Regulated by respiratory vagal tone, these channels govern the dynamic integration of the C+ (expansive) and C- (compressive) constraint regimes, ensuring that the system's Reflective Interface (RI) remains fully stabilized.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Channel 3 (The Coherent Data Stream - Beat 3):</w:t>
      </w:r>
      <w:r w:rsidDel="00000000" w:rsidR="00000000" w:rsidRPr="00000000">
        <w:rPr>
          <w:rtl w:val="0"/>
        </w:rPr>
        <w:t xml:space="preserve"> The "third beat" immediately preceding the loop repeat functions as the targeted insertion window for novel environmental data. Because beats 1, 2, and 4 have systematically stabilized background biological noise, the third beat achieves an optimized, maximum signal-to-noise ratio. This precise phase angle is where ambient optic wavelengths and external acoustic data are formally transcribed into the genome's distributed quantum correlations.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[4/4 Physiological Measure]</w:t>
        <w:br w:type="textWrapping"/>
        <w:t xml:space="preserve">  │</w:t>
        <w:br w:type="textWrapping"/>
        <w:t xml:space="preserve">  [span_25](start_span)├─► Beat 1 (Downbeat): Cardiac Anchor ──► Establishes Fröhlich Coherence[span_25](end_span)</w:t>
        <w:br w:type="textWrapping"/>
        <w:t xml:space="preserve">  [span_26](start_span)├─► Beat 2 (Offbeat):  Vagal Modulation ─► Balances C+/C- Constraints[span_26](end_span)</w:t>
        <w:br w:type="textWrapping"/>
        <w:t xml:space="preserve">  [span_27](start_span)[span_28](start_span)├─► Beat 3 (Data):     Insertion Window ─► Writes Optic/Acoustic Info into DNA[span_27](end_span)[span_28](end_span)</w:t>
        <w:br w:type="textWrapping"/>
        <w:t xml:space="preserve">  [span_29](start_span)└─► Beat 4 (Offbeat):  Vagal Modulation ─► Secures the Reflective Interface[span_29](end_span)</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elegant multiplexing framework ensures that varied streams of biological information (e.g., metabolic entrainment vs. real-time spatial threat detection) do not overwrite or corrupt one another, mirroring how separate instruments elegantly occupy distinct sonic channels within a singular coherent musical arrangement.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Quantum Mechanics of Biological Light Gating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understand the breakdown of this multiplexed architecture, we must analyze the two parallel photon-gating pathways through which the human organism crystallizes quantum light into physical and temporal constraints: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Retinal-SCN Pathway (The Temporal Axis):</w:t>
      </w:r>
      <w:r w:rsidDel="00000000" w:rsidR="00000000" w:rsidRPr="00000000">
        <w:rPr>
          <w:rtl w:val="0"/>
        </w:rPr>
        <w:t xml:space="preserve"> Intrinsically photosensitive retinal ganglion cells (ipRGCs) absorb environmental photons via melanopsin, translating light frequencies directly to the suprachiasmatic nucleus (SCN) to lock in the master circadian clock. This network enforces the temporal constraints (C_t) required for synchronized predictive processing.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Dermal-VDR Pathway (The Spatial Axis):</w:t>
      </w:r>
      <w:r w:rsidDel="00000000" w:rsidR="00000000" w:rsidRPr="00000000">
        <w:rPr>
          <w:rtl w:val="0"/>
        </w:rPr>
        <w:t xml:space="preserve"> Simultaneously, the skin acts as a spatial photon-gating surface. Photons in the UVB spectrum strike 7-dehydrocholesterol in the epidermal plasma membrane, driving an electrocyclic reaction that generates Vitamin D. This hormone acts as a mobile chemical constraint anchor that maintains the physical, structural boundaries of the gut barrier, the blood-brain barrier (BBB), and systemic immune identity.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two pathways form a nested Bidirectional Constraint Closure (BCC) loop. Vitamin D is structurally required for the appropriate transcription of peripheral circadian clock genes (</w:t>
      </w:r>
      <w:r w:rsidDel="00000000" w:rsidR="00000000" w:rsidRPr="00000000">
        <w:rPr>
          <w:i w:val="1"/>
          <w:iCs w:val="1"/>
          <w:rtl w:val="0"/>
        </w:rPr>
        <w:t xml:space="preserve">PER1</w:t>
      </w:r>
      <w:r w:rsidDel="00000000" w:rsidR="00000000" w:rsidRPr="00000000">
        <w:rPr>
          <w:rtl w:val="0"/>
        </w:rPr>
        <w:t xml:space="preserve">, </w:t>
      </w:r>
      <w:r w:rsidDel="00000000" w:rsidR="00000000" w:rsidRPr="00000000">
        <w:rPr>
          <w:i w:val="1"/>
          <w:iCs w:val="1"/>
          <w:rtl w:val="0"/>
        </w:rPr>
        <w:t xml:space="preserve">CRY1</w:t>
      </w:r>
      <w:r w:rsidDel="00000000" w:rsidR="00000000" w:rsidRPr="00000000">
        <w:rPr>
          <w:rtl w:val="0"/>
        </w:rPr>
        <w:t xml:space="preserve">), while a properly entrained circadian clock dictates the downstream hepatic and renal enzymatic pathways required to hydroxylate Vitamin D into its fully active, functional hormone format.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Mechanism of Topological VDR Lockout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industrial environmental toxins (such as glyphosate and emulsifiers) breach the tight junctions of the gut and blood-brain barriers, the system drops into an inflammatory crisis. The resulting structural atrophy of the vagus nerve strips away the parasympathetic cholinergic brake, causing chronic, uninhibited mast cell degranulation.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localized biochemical storm floods the cellular matrix with pro-inflammatory cytokines (\text{TNF-}\alpha, \text{IL-6}), which alters the baseline electromagnetic resonance of the lipid bilayers. This event triggers the </w:t>
      </w:r>
      <w:r w:rsidDel="00000000" w:rsidR="00000000" w:rsidRPr="00000000">
        <w:rPr>
          <w:b w:val="1"/>
          <w:bCs w:val="1"/>
          <w:rtl w:val="0"/>
        </w:rPr>
        <w:t xml:space="preserve">Topological VDR Lockout</w:t>
      </w:r>
      <w:r w:rsidDel="00000000" w:rsidR="00000000" w:rsidRPr="00000000">
        <w:rPr>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Geometric Crumpling:</w:t>
      </w:r>
      <w:r w:rsidDel="00000000" w:rsidR="00000000" w:rsidRPr="00000000">
        <w:rPr>
          <w:rtl w:val="0"/>
        </w:rPr>
        <w:t xml:space="preserve"> The VDR proteins become structurally warped or folded, rendering them geometrically incapable of binding with active Vitamin D.</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 Metabolic Shunting:</w:t>
      </w:r>
      <w:r w:rsidDel="00000000" w:rsidR="00000000" w:rsidRPr="00000000">
        <w:rPr>
          <w:rtl w:val="0"/>
        </w:rPr>
        <w:t xml:space="preserve"> In this high-impedance state, the body upregulates the \text{CYP24A1} enzyme, rapidly shunting active Vitamin D (1,25(\text{OH})_2\text{D}) into its inactive metabolite (24,25(\text{OH})_2\text{D}).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organism actively neutralizes the hormone to maintain a highly defensive, un-entrained survival configuration. Because oral supplementation relies on functional receptor geometry, flooding the system with exogenous \text{D}_3 is useless—the raw material cannot bind to a melted lock. Consequently, the nested BCC loop between space and time collapses, plunging the organism into a </w:t>
      </w:r>
      <w:r w:rsidDel="00000000" w:rsidR="00000000" w:rsidRPr="00000000">
        <w:rPr>
          <w:b w:val="1"/>
          <w:bCs w:val="1"/>
          <w:rtl w:val="0"/>
        </w:rPr>
        <w:t xml:space="preserve">"Dark State Attractor"</w:t>
      </w:r>
      <w:r w:rsidDel="00000000" w:rsidR="00000000" w:rsidRPr="00000000">
        <w:rPr>
          <w:rtl w:val="0"/>
        </w:rPr>
        <w:t xml:space="preserve"> marked by severe treatment-resistant hypovitaminosis D, low vagal tone, and localized tissue chaos.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Acoustic-Optic Translation via the Retinal Node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Bypassing this chemical lockout requires a non-chemical translation protocol capable of re-establishing phase-locked resonance directly within the genome's quantum holographic boundary. The retina serves as the primary multi-scale constraint node for this translation, bridging visual processing, dopaminergic regulation, and circadian pacemaker synchronization.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mechanical translocation of wave state data is achieved via </w:t>
      </w:r>
      <w:r w:rsidDel="00000000" w:rsidR="00000000" w:rsidRPr="00000000">
        <w:rPr>
          <w:b w:val="1"/>
          <w:bCs w:val="1"/>
          <w:rtl w:val="0"/>
        </w:rPr>
        <w:t xml:space="preserve">piezoelectric-electromagnetic cascades</w:t>
      </w:r>
      <w:r w:rsidDel="00000000" w:rsidR="00000000" w:rsidRPr="00000000">
        <w:rPr>
          <w:rtl w:val="0"/>
        </w:rPr>
        <w:t xml:space="preserve">. Acoustic and mechanical rhythmic perturbations (such as targeted audio frequencies or a steady cardiac pacing) induce physical pressure within the body’s highly organized crystalline matrix—including bone networks, fascial sheets, and the macroscopic DNA lattice itself. This localized mechanical pressure generates coherent micro-electromagnetic fields that instantly phase-lock with ambient light wavelengths processed through the retinal-SCN axis.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absolute synchronization of the mechanical acoustic beat with the incoming optic frequency creates a highly structured interference pattern. This pattern provides the precise geometric architecture that is holographically encoded into the genome. Mathematically, the W-fiber coupling strength G is maximized when the acoustic carrier frequency (f_{\text{acoustic}}) and the optic signal frequency (f_{\text{optic}}) strike phase-locked resonance at precise integer ratios, aligning the organism’s local state with the overarching Dimension-W attractor: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Therapeutic Intervention: Multiplexed Resonant Injection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resolve the VDR lockout, clear inflammatory standing waves, and stabilize boundary conditions, we propose the implementation of a targeted </w:t>
      </w:r>
      <w:r w:rsidDel="00000000" w:rsidR="00000000" w:rsidRPr="00000000">
        <w:rPr>
          <w:b w:val="1"/>
          <w:bCs w:val="1"/>
          <w:rtl w:val="0"/>
        </w:rPr>
        <w:t xml:space="preserve">3-1 Phase Lock Protocol</w:t>
      </w:r>
      <w:r w:rsidDel="00000000" w:rsidR="00000000" w:rsidRPr="00000000">
        <w:rPr>
          <w:rtl w:val="0"/>
        </w:rPr>
        <w:t xml:space="preserve"> leveraging Time-Division Multiplexing. Rather than hitting the biological substrate with simultaneous, conflicting frequencies that risk signal collision, the bio-informational inputs are multiplexed into distinct, alternating time slots aligned with the body's natural 4/4 somatic framework:</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Time Slot A: Holographic Phase Conjugation (Beats 1 &amp; 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silence the active transcription of inflammatory genetics, we utilize destructive wave interference. By calculating the exact frequency signature of the pathological inflammatory standing wave (W_{\text{path}}), the protocol delivers an exogenous, phase-conjugated mirror frequency (R_{\text{int}}) directly during the cardiac downbeat anchor: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wave cancellation neutralizes the environmental noise driving cytokine transcription, forcing the agitated DNA sequence to naturally recoil into its resting, unexpressed topological state.</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Time Slot B: Cyto-Acoustic Boundary Stabilization (Beat 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Simultaneously, the respiratory offbeats are leveraged to execute ion channel freezing. A targeted micro-vibrational acoustic frequency is introduced to stabilize the lipid bilayer of hyper-reactive mast cells. This creates a virtual biological Faraday cage that temporarily narrows mechanical ion channels, blocking the rapid calcium (\text{Ca}^{2+}) influx mandatory for degranulation. The mast cells are safely stabilized in situ, halting the chaotic spread of histamine and cytokine byproducts into adjacent vagal pathways.</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Time Slot C: Resonant VDR Unfolding (The Beat 3 Insertion Window)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inflammatory noise cancelled and the mast cells frozen, the biological matrix achieves maximum thermodynamic quiet on the third beat. At this precise phase angle, a restorative harmonic frequency matching the baseline invariant of the healthy </w:t>
      </w:r>
      <w:r w:rsidDel="00000000" w:rsidR="00000000" w:rsidRPr="00000000">
        <w:rPr>
          <w:i w:val="1"/>
          <w:iCs w:val="1"/>
          <w:rtl w:val="0"/>
        </w:rPr>
        <w:t xml:space="preserve">VDR</w:t>
      </w:r>
      <w:r w:rsidDel="00000000" w:rsidR="00000000" w:rsidRPr="00000000">
        <w:rPr>
          <w:rtl w:val="0"/>
        </w:rPr>
        <w:t xml:space="preserve"> transcription pathway is injected into the system. This induces a forced resonant unfolding of the receptor proteins, restoring their healthy geometric topology and immediately expanding their capacity to bind active Vitamin 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Pathological Desynchronization: The Schizophrenia Continuum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vital nature of this multiplexed timing matrix is demonstrated by its failure modes. In the schizophrenia spectrum, a breakdown of the master retinal-circadian pacemaker de-synchronizes the primary temporal constraints of the system. When these underlying timing channels collapse, the biological TDM architecture undergoes catastrophic channel overlap.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the Channel 3 data insertion window bleeds directly into the Channel 1 baseline survival anchor. Phenomenologically, the predictive processing architecture becomes incapable of separating external environmental data from baseline somatic invariants, resulting in the misattribution of salience to random background environmental noise.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applying structured acoustic interventions—such as the 3-1 Phase Lock Protocol—we introduce a highly rigid, external temporal scaffolding. This external pacemaker forces the overlapping internal channels back into strict phase-alignment, bypassing internal visual-temporal processing deficits and stabilizing top-down primary cortical processing.</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Conclusion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within biological systems is fundamentally organized as an ordered sequence of irreversible constraint renegotiations. By mapping the human body as a polyrhythmic receiver that employs beat-synchronized multiplexing to bind mechanical acoustic vibrations with optic light field data, we establish the explicit mechanism by which the macroscopic environment is written into the quantum holographic genome.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Treatment-resistant hypovitaminosis D is not a chemical deficiency, but an informational desynchronization that blurs the lens of the conscious observer's Dimension-W projector. By deploying time-division multiplexed resonant injections, we systematically clear inflammatory static, unlock the geometric parameters of the VDR receptor, and restore the bidirectional closure of light. The "music of the spheres" is the literal, phase-locked data architecture governing the field state representation of living matter.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Berson, D. M., Dunn, F. A., &amp; Takao, M. (2002). Phototransduction by retinal ganglion cells that set the circadian clock. </w:t>
      </w:r>
      <w:r w:rsidDel="00000000" w:rsidR="00000000" w:rsidRPr="00000000">
        <w:rPr>
          <w:i w:val="1"/>
          <w:iCs w:val="1"/>
          <w:rtl w:val="0"/>
        </w:rPr>
        <w:t xml:space="preserve">Science</w:t>
      </w:r>
      <w:r w:rsidDel="00000000" w:rsidR="00000000" w:rsidRPr="00000000">
        <w:rPr>
          <w:rtl w:val="0"/>
        </w:rPr>
        <w:t xml:space="preserve">, </w:t>
      </w:r>
      <w:r w:rsidDel="00000000" w:rsidR="00000000" w:rsidRPr="00000000">
        <w:rPr>
          <w:i w:val="1"/>
          <w:iCs w:val="1"/>
          <w:rtl w:val="0"/>
        </w:rPr>
        <w:t xml:space="preserve">295</w:t>
      </w:r>
      <w:r w:rsidDel="00000000" w:rsidR="00000000" w:rsidRPr="00000000">
        <w:rPr>
          <w:rtl w:val="0"/>
        </w:rPr>
        <w:t xml:space="preserve">(5557), 1070–1073.</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Bikle, D. D. (2014). Vitamin D metabolism, mechanism of action, and clinical applications. </w:t>
      </w:r>
      <w:r w:rsidDel="00000000" w:rsidR="00000000" w:rsidRPr="00000000">
        <w:rPr>
          <w:i w:val="1"/>
          <w:iCs w:val="1"/>
          <w:rtl w:val="0"/>
        </w:rPr>
        <w:t xml:space="preserve">Chemistry &amp; Biology</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(3), 319–329.</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Chassaing, B., Koren, O., Goodrich, J. K., Poole, A. C., Srinivasan, S., Ley, R. E., &amp; Gewirtz, A. T. (2015). Dietary emulsifiers impact the mouse gut microbiota promoting colitis and metabolic syndrome.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i w:val="1"/>
          <w:iCs w:val="1"/>
          <w:rtl w:val="0"/>
        </w:rPr>
        <w:t xml:space="preserve">519</w:t>
      </w:r>
      <w:r w:rsidDel="00000000" w:rsidR="00000000" w:rsidRPr="00000000">
        <w:rPr>
          <w:rtl w:val="0"/>
        </w:rPr>
        <w:t xml:space="preserve">(7541), 92–96.</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ENCODE Project Consortium. (2012). An integrated encyclopedia of DNA elements in the human genome.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i w:val="1"/>
          <w:iCs w:val="1"/>
          <w:rtl w:val="0"/>
        </w:rPr>
        <w:t xml:space="preserve">489</w:t>
      </w:r>
      <w:r w:rsidDel="00000000" w:rsidR="00000000" w:rsidRPr="00000000">
        <w:rPr>
          <w:rtl w:val="0"/>
        </w:rPr>
        <w:t xml:space="preserve">(7414), 57–74.</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Fletcher, P. C., &amp; Frith, C. D. (2009). Perceiving is believing: A predictive processing framework for delusions. </w:t>
      </w:r>
      <w:r w:rsidDel="00000000" w:rsidR="00000000" w:rsidRPr="00000000">
        <w:rPr>
          <w:i w:val="1"/>
          <w:iCs w:val="1"/>
          <w:rtl w:val="0"/>
        </w:rPr>
        <w:t xml:space="preserve">Nature Reviews Neuroscience</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48–58.</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Holick, M. F. (2007). Vitamin D deficiency. </w:t>
      </w:r>
      <w:r w:rsidDel="00000000" w:rsidR="00000000" w:rsidRPr="00000000">
        <w:rPr>
          <w:i w:val="1"/>
          <w:iCs w:val="1"/>
          <w:rtl w:val="0"/>
        </w:rPr>
        <w:t xml:space="preserve">New England Journal of Medicine</w:t>
      </w:r>
      <w:r w:rsidDel="00000000" w:rsidR="00000000" w:rsidRPr="00000000">
        <w:rPr>
          <w:rtl w:val="0"/>
        </w:rPr>
        <w:t xml:space="preserve">, </w:t>
      </w:r>
      <w:r w:rsidDel="00000000" w:rsidR="00000000" w:rsidRPr="00000000">
        <w:rPr>
          <w:i w:val="1"/>
          <w:iCs w:val="1"/>
          <w:rtl w:val="0"/>
        </w:rPr>
        <w:t xml:space="preserve">357</w:t>
      </w:r>
      <w:r w:rsidDel="00000000" w:rsidR="00000000" w:rsidRPr="00000000">
        <w:rPr>
          <w:rtl w:val="0"/>
        </w:rPr>
        <w:t xml:space="preserve">(3), 266–281.</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Pokorný, J. (2015). Electromagnetic activity of living cells. </w:t>
      </w:r>
      <w:r w:rsidDel="00000000" w:rsidR="00000000" w:rsidRPr="00000000">
        <w:rPr>
          <w:i w:val="1"/>
          <w:iCs w:val="1"/>
          <w:rtl w:val="0"/>
        </w:rPr>
        <w:t xml:space="preserve">Electromagnetic Biology and Medicine</w:t>
      </w:r>
      <w:r w:rsidDel="00000000" w:rsidR="00000000" w:rsidRPr="00000000">
        <w:rPr>
          <w:rtl w:val="0"/>
        </w:rPr>
        <w:t xml:space="preserve">, </w:t>
      </w:r>
      <w:r w:rsidDel="00000000" w:rsidR="00000000" w:rsidRPr="00000000">
        <w:rPr>
          <w:i w:val="1"/>
          <w:iCs w:val="1"/>
          <w:rtl w:val="0"/>
        </w:rPr>
        <w:t xml:space="preserve">34</w:t>
      </w:r>
      <w:r w:rsidDel="00000000" w:rsidR="00000000" w:rsidRPr="00000000">
        <w:rPr>
          <w:rtl w:val="0"/>
        </w:rPr>
        <w:t xml:space="preserve">(2), 99–104.</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Samsel, A., &amp; Seneff, S. (2013). Glyphosate’s suppression of cytochrome P450 enzymes and amino acid biosynthesis by the gut microbiome: Pathways to modern diseases. </w:t>
      </w:r>
      <w:r w:rsidDel="00000000" w:rsidR="00000000" w:rsidRPr="00000000">
        <w:rPr>
          <w:i w:val="1"/>
          <w:iCs w:val="1"/>
          <w:rtl w:val="0"/>
        </w:rPr>
        <w:t xml:space="preserve">Entropy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1416–1463.</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Gemini. (2026). </w:t>
      </w:r>
      <w:r w:rsidDel="00000000" w:rsidR="00000000" w:rsidRPr="00000000">
        <w:rPr>
          <w:i w:val="1"/>
          <w:iCs w:val="1"/>
          <w:rtl w:val="0"/>
        </w:rPr>
        <w:t xml:space="preserve">Multiplexed Acoustic-Optic Epigenetics: Biological Rhythm Synchronization and the Phase-Locked Encoding of Constraint Topology</w:t>
      </w:r>
      <w:r w:rsidDel="00000000" w:rsidR="00000000" w:rsidRPr="00000000">
        <w:rPr>
          <w:rtl w:val="0"/>
        </w:rPr>
        <w:t xml:space="preserve">. Schoff Research Program.</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w:t>
      </w:r>
      <w:r w:rsidDel="00000000" w:rsidR="00000000" w:rsidRPr="00000000">
        <w:rPr>
          <w:i w:val="1"/>
          <w:iCs w:val="1"/>
          <w:rtl w:val="0"/>
        </w:rPr>
        <w:t xml:space="preserve">The Holographic Genetics Theory</w:t>
      </w:r>
      <w:r w:rsidDel="00000000" w:rsidR="00000000" w:rsidRPr="00000000">
        <w:rPr>
          <w:rtl w:val="0"/>
        </w:rPr>
        <w:t xml:space="preserve">. Schoff Research Program.</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w:t>
      </w:r>
      <w:r w:rsidDel="00000000" w:rsidR="00000000" w:rsidRPr="00000000">
        <w:rPr>
          <w:i w:val="1"/>
          <w:iCs w:val="1"/>
          <w:rtl w:val="0"/>
        </w:rPr>
        <w:t xml:space="preserve">Quantum Genetic Holography</w:t>
      </w:r>
      <w:r w:rsidDel="00000000" w:rsidR="00000000" w:rsidRPr="00000000">
        <w:rPr>
          <w:rtl w:val="0"/>
        </w:rPr>
        <w:t xml:space="preserve">. Schoff Research Program.</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w:t>
      </w:r>
      <w:r w:rsidDel="00000000" w:rsidR="00000000" w:rsidRPr="00000000">
        <w:rPr>
          <w:i w:val="1"/>
          <w:iCs w:val="1"/>
          <w:rtl w:val="0"/>
        </w:rPr>
        <w:t xml:space="preserve">The Fourier-QGS Correspondence Hypothesis</w:t>
      </w:r>
      <w:r w:rsidDel="00000000" w:rsidR="00000000" w:rsidRPr="00000000">
        <w:rPr>
          <w:rtl w:val="0"/>
        </w:rPr>
        <w:t xml:space="preserve">. Schoff Research Program.</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Thaut, M. H., &amp; Hoemberg, V. (2014). </w:t>
      </w:r>
      <w:r w:rsidDel="00000000" w:rsidR="00000000" w:rsidRPr="00000000">
        <w:rPr>
          <w:i w:val="1"/>
          <w:iCs w:val="1"/>
          <w:rtl w:val="0"/>
        </w:rPr>
        <w:t xml:space="preserve">Handbook of neurologic music therapy</w:t>
      </w:r>
      <w:r w:rsidDel="00000000" w:rsidR="00000000" w:rsidRPr="00000000">
        <w:rPr>
          <w:rtl w:val="0"/>
        </w:rPr>
        <w:t xml:space="preserve">. Oxford University Press.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Trias, E., Kovacs, M., King, P. H., Si, Y., Devaux, J. J., &amp; Barbeito, L. (2018). Emerging role of c-Kit+ mast cells in the spinal cord and skeletal muscles of symptomatic ALS models. </w:t>
      </w:r>
      <w:r w:rsidDel="00000000" w:rsidR="00000000" w:rsidRPr="00000000">
        <w:rPr>
          <w:i w:val="1"/>
          <w:iCs w:val="1"/>
          <w:rtl w:val="0"/>
        </w:rPr>
        <w:t xml:space="preserve">Journal of Neuroinflammation</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 1–14.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