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27"/>
          <w:szCs w:val="27"/>
        </w:rPr>
        <w:t xml:space="preserve">Diet Data Enhancement: Harmonized Food Databases and Knowledge-Graph Mapping to Improve Diet-Driven Health Predictions in the Human Phenotype Project</w:t>
      </w:r>
    </w:p>
    <w:p>
      <w:pPr>
        <w:pStyle w:val="Heading2"/>
        <w:spacing w:after="60" w:before="160"/>
      </w:pPr>
      <w:r>
        <w:rPr>
          <w:b/>
          <w:bCs/>
          <w:color w:val="1F3864"/>
          <w:sz w:val="24"/>
          <w:szCs w:val="24"/>
        </w:rPr>
        <w:t xml:space="preserve">Overall Idea</w:t>
      </w:r>
    </w:p>
    <w:p>
      <w:pPr>
        <w:spacing w:after="100"/>
      </w:pPr>
      <w:r>
        <w:rPr>
          <w:sz w:val="20"/>
          <w:szCs w:val="20"/>
        </w:rPr>
        <w:t>The Human Phenotype Project (HPP) logs diet data from over 10,000 participants, but each food entry carries only ~21 basic nutrient values, and food-name matching across regional databases is inconsistent — likely limiting the accuracy of HPP’s own published diet-based predictions (e.g., gut microbiome composition, obesity risk, cardiometabolic biomarkers). This project builds a pipeline that progressively enriches HPP’s raw diet data — first by harmonizing it against six international food-composition databases using an OpenAI GPT + embeddings matching pipeline (expanding nutrient coverage from ~21 to ~150 fields per food), then by mapping matched foods to the FoodAtlas chemical/bioactivity knowledge graph — and directly tests whether each enrichment stage improves prediction accuracy on HPP’s own published outcome models.</w:t>
      </w:r>
    </w:p>
    <w:p>
      <w:pPr>
        <w:pStyle w:val="Heading2"/>
        <w:spacing w:after="60" w:before="160"/>
      </w:pPr>
      <w:r>
        <w:rPr>
          <w:b/>
          <w:bCs/>
          <w:color w:val="1F3864"/>
          <w:sz w:val="24"/>
          <w:szCs w:val="24"/>
        </w:rPr>
        <w:t xml:space="preserve">Steps</w:t>
      </w:r>
    </w:p>
    <w:p>
      <w:pPr>
        <w:pStyle w:val="ListParagraph"/>
        <w:numPr>
          <w:ilvl w:val="0"/>
          <w:numId w:val="2"/>
        </w:numPr>
        <w:spacing w:after="60"/>
      </w:pPr>
      <w:r>
        <w:rPr>
          <w:sz w:val="20"/>
          <w:szCs w:val="20"/>
        </w:rPr>
        <w:t>Harmonize HPP’s ~7,765-item food list against USDA, Israeli (Tzameret), Japanese (MEXT), Australian (AUSNUT), and Bahraini food-composition databases via OpenAI GPT standardization, OpenAI embedding-based matching, and OpenAI GPT-judged equivalence confirmation.</w:t>
      </w:r>
    </w:p>
    <w:p>
      <w:pPr>
        <w:pStyle w:val="ListParagraph"/>
        <w:numPr>
          <w:ilvl w:val="0"/>
          <w:numId w:val="2"/>
        </w:numPr>
        <w:spacing w:after="60"/>
      </w:pPr>
      <w:r>
        <w:rPr>
          <w:sz w:val="20"/>
          <w:szCs w:val="20"/>
        </w:rPr>
        <w:t xml:space="preserve">Map harmonized foods to the FoodAtlas knowledge graph, attaching bioactive-compound, disease-association, and flavor-descriptor metadata where matched.</w:t>
      </w:r>
    </w:p>
    <w:p>
      <w:pPr>
        <w:pStyle w:val="ListParagraph"/>
        <w:numPr>
          <w:ilvl w:val="0"/>
          <w:numId w:val="2"/>
        </w:numPr>
        <w:spacing w:after="60"/>
      </w:pPr>
      <w:r>
        <w:rPr>
          <w:sz w:val="20"/>
          <w:szCs w:val="20"/>
        </w:rPr>
        <w:t xml:space="preserve">Add an optional human-in-the-loop review step for foods the automated pipeline cannot confidently resolve.</w:t>
      </w:r>
    </w:p>
    <w:p>
      <w:pPr>
        <w:pStyle w:val="ListParagraph"/>
        <w:numPr>
          <w:ilvl w:val="0"/>
          <w:numId w:val="2"/>
        </w:numPr>
        <w:spacing w:after="60"/>
      </w:pPr>
      <w:r>
        <w:rPr>
          <w:sz w:val="20"/>
          <w:szCs w:val="20"/>
        </w:rPr>
        <w:t xml:space="preserve">Adapt HPP’s own published diet-microbiome and diet-phenotype prediction code to accept each enriched feature set as a drop-in replacement for the current baseline features.</w:t>
      </w:r>
    </w:p>
    <w:p>
      <w:pPr>
        <w:pStyle w:val="ListParagraph"/>
        <w:numPr>
          <w:ilvl w:val="0"/>
          <w:numId w:val="2"/>
        </w:numPr>
        <w:spacing w:after="60"/>
      </w:pPr>
      <w:r>
        <w:rPr>
          <w:sz w:val="20"/>
          <w:szCs w:val="20"/>
        </w:rPr>
        <w:t xml:space="preserve">Inside HPP’s secure environment, compare downstream prediction accuracy across four versions of the diet data — raw, harmonized, +knowledge graph, +human-reviewed — against the same held-out microbiome and phenotype/biomarker targets.</w:t>
      </w:r>
    </w:p>
    <w:p>
      <w:pPr>
        <w:pStyle w:val="ListParagraph"/>
        <w:numPr>
          <w:ilvl w:val="0"/>
          <w:numId w:val="2"/>
        </w:numPr>
        <w:spacing w:after="60"/>
      </w:pPr>
      <w:r>
        <w:rPr>
          <w:sz w:val="20"/>
          <w:szCs w:val="20"/>
        </w:rPr>
        <w:t xml:space="preserve">Examine whether enrichment shifts age/sex bias patterns or reveals new clustering structure in the enhanced feature space.</w:t>
      </w:r>
    </w:p>
    <w:p>
      <w:pPr>
        <w:pStyle w:val="Heading2"/>
        <w:spacing w:after="60" w:before="160"/>
      </w:pPr>
      <w:r>
        <w:rPr>
          <w:b/>
          <w:bCs/>
          <w:color w:val="1F3864"/>
          <w:sz w:val="24"/>
          <w:szCs w:val="24"/>
        </w:rPr>
        <w:t xml:space="preserve">Significance</w:t>
      </w:r>
    </w:p>
    <w:p>
      <w:pPr>
        <w:spacing w:after="100"/>
      </w:pPr>
      <w:r>
        <w:rPr>
          <w:sz w:val="20"/>
          <w:szCs w:val="20"/>
        </w:rPr>
        <w:t xml:space="preserve">Diet is among the most modifiable and least standardized inputs in large cohort studies, and its predictive power is capped by data quality rather than biology. Demonstrating that harmonized, knowledge-graph-enriched diet data measurably improves prediction of clinically relevant outcomes would directly strengthen HPP’s own published models and offer a reusable enhancement method for any biobank with app-logged diet data, without requiring new data collection.</w:t>
      </w:r>
    </w:p>
    <w:p>
      <w:pPr>
        <w:pStyle w:val="Heading2"/>
        <w:spacing w:after="60" w:before="160"/>
      </w:pPr>
      <w:r>
        <w:rPr>
          <w:b/>
          <w:bCs/>
          <w:color w:val="1F3864"/>
          <w:sz w:val="24"/>
          <w:szCs w:val="24"/>
        </w:rPr>
        <w:t xml:space="preserve">Innovation</w:t>
      </w:r>
    </w:p>
    <w:p>
      <w:pPr>
        <w:spacing w:after="100"/>
      </w:pPr>
      <w:r>
        <w:rPr>
          <w:sz w:val="20"/>
          <w:szCs w:val="20"/>
        </w:rPr>
        <w:t>This design combines three elements not previously tested together: OpenAI GPT models replacing proprietary model components in the food-harmonization pipeline, paired with OpenAI embeddings for cross-database retrieval; a food-chemical knowledge graph (FoodAtlas) layered on top of nutrient harmonization, which prior work did not include; and a controlled four-arm ablation (raw → harmonized → +knowledge graph → +human-in-the-loop) that isolates which specific enhancement stage drives any gain, rather than a single before/after comparison.</w:t>
      </w:r>
    </w:p>
    <w:p>
      <w:pPr>
        <w:pStyle w:val="Heading2"/>
        <w:spacing w:after="60" w:before="160"/>
      </w:pPr>
      <w:r>
        <w:rPr>
          <w:b/>
          <w:bCs/>
          <w:color w:val="1F3864"/>
          <w:sz w:val="24"/>
          <w:szCs w:val="24"/>
        </w:rPr>
        <w:t xml:space="preserve">Approach</w:t>
      </w:r>
    </w:p>
    <w:p>
      <w:pPr>
        <w:spacing w:after="100"/>
      </w:pPr>
      <w:r>
        <w:rPr>
          <w:sz w:val="20"/>
          <w:szCs w:val="20"/>
        </w:rPr>
        <w:t xml:space="preserve">The project is split to respect HPP’s data-access restrictions. Outside HPP’s secure Trusted Research Environment (TRE), the full harmonization pipeline, knowledge-graph mapping, and adapted prediction code are built and pre-tested using only public food databases and mock data shaped like HPP’s real tables. Inside the TRE, the finished pipeline is applied to real diet logs and run against real microbiome and phenotype targets, with only aggregate results exported for analysis and write-up.</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2026-07-10T09:13:00.510Z</dcterms:created>
  <dcterms:modified xsi:type="dcterms:W3CDTF">2026-07-10T09:13:00.511Z</dcterms:modified>
</cp:coreProperties>
</file>

<file path=docProps/custom.xml><?xml version="1.0" encoding="utf-8"?>
<Properties xmlns="http://schemas.openxmlformats.org/officeDocument/2006/custom-properties" xmlns:vt="http://schemas.openxmlformats.org/officeDocument/2006/docPropsVTypes"/>
</file>