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itdx26_formspace_nlm_plan"/>
      <w:r>
        <w:rPr>
          <w:rFonts w:eastAsia="source serif 4" w:cs="source serif 4" w:ascii="source serif 4" w:hAnsi="source serif 4"/>
          <w:b/>
          <w:color w:val="000000"/>
          <w:sz w:val="39"/>
        </w:rPr>
        <w:t xml:space="preserve">ITDX26 — FormSpace + NLM Plan</w:t>
      </w:r>
      <w:bookmarkEnd w:id="0"/>
    </w:p>
    <w:p>
      <w:pPr>
        <w:spacing w:line="360" w:after="210" w:lineRule="auto"/>
      </w:pPr>
      <w:r>
        <w:rPr>
          <w:rFonts w:eastAsia="source serif 4" w:cs="source serif 4" w:ascii="source serif 4" w:hAnsi="source serif 4"/>
          <w:b/>
          <w:color w:val="000000"/>
        </w:rPr>
        <w:t xml:space="preserve">Prepared:</w:t>
      </w:r>
      <w:r>
        <w:rPr>
          <w:rFonts w:eastAsia="source serif 4" w:cs="source serif 4" w:ascii="source serif 4" w:hAnsi="source serif 4"/>
          <w:color w:val="000000"/>
        </w:rPr>
        <w:t xml:space="preserve"> 2026-09-01</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PI:</w:t>
      </w:r>
      <w:r>
        <w:rPr>
          <w:rFonts w:eastAsia="source serif 4" w:cs="source serif 4" w:ascii="source serif 4" w:hAnsi="source serif 4"/>
          <w:color w:val="000000"/>
        </w:rPr>
        <w:t xml:space="preserve"> Morgan Rockcoons, Founder &amp; CEO, Mycosoft, LLC</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Event:</w:t>
      </w:r>
      <w:r>
        <w:rPr>
          <w:rFonts w:eastAsia="source serif 4" w:cs="source serif 4" w:ascii="source serif 4" w:hAnsi="source serif 4"/>
          <w:color w:val="000000"/>
        </w:rPr>
        <w:t xml:space="preserve"> ITDX26, U of Arizona Sierra Vista, 8-18 Sept 2026</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Handling:</w:t>
      </w:r>
      <w:r>
        <w:rPr>
          <w:rFonts w:eastAsia="source serif 4" w:cs="source serif 4" w:ascii="source serif 4" w:hAnsi="source serif 4"/>
          <w:color w:val="000000"/>
        </w:rPr>
        <w:t xml:space="preserve"> UNCLASSIFIED // PROPRIETARY</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Selection:</w:t>
      </w:r>
      <w:r>
        <w:rPr>
          <w:rFonts w:eastAsia="source serif 4" w:cs="source serif 4" w:ascii="source serif 4" w:hAnsi="source serif 4"/>
          <w:color w:val="000000"/>
        </w:rPr>
        <w:t xml:space="preserve"> Row 6, SUB-007, W91RUSI-FCID260001, Status: SELECTED — ITDX26</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Track:</w:t>
      </w:r>
      <w:r>
        <w:rPr>
          <w:rFonts w:eastAsia="source serif 4" w:cs="source serif 4" w:ascii="source serif 4" w:hAnsi="source serif 4"/>
          <w:color w:val="000000"/>
        </w:rPr>
        <w:t xml:space="preserve"> Algorithm-only, unclassified, laptop-based evaluation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 w:name="bm_0_what_itdx26_actually_allows_4b32e0"/>
      <w:r>
        <w:rPr>
          <w:rFonts w:eastAsia="source serif 4" w:cs="source serif 4" w:ascii="source serif 4" w:hAnsi="source serif 4"/>
          <w:b/>
          <w:color w:val="000000"/>
          <w:sz w:val="24"/>
        </w:rPr>
        <w:t xml:space="preserve">0. What ITDX26 actually allows us to demonstrate</w:t>
      </w:r>
      <w:bookmarkEnd w:id="1"/>
    </w:p>
    <w:p>
      <w:pPr>
        <w:spacing w:line="360" w:after="210" w:lineRule="auto"/>
      </w:pPr>
      <w:r>
        <w:rPr>
          <w:rFonts w:eastAsia="source serif 4" w:cs="source serif 4" w:ascii="source serif 4" w:hAnsi="source serif 4"/>
          <w:color w:val="000000"/>
        </w:rPr>
        <w:t xml:space="preserve">The ITDX26 room is not a hardware trade-show floor and not an operational field. It is an </w:t>
      </w:r>
      <w:r>
        <w:rPr>
          <w:rFonts w:eastAsia="source serif 4" w:cs="source serif 4" w:ascii="source serif 4" w:hAnsi="source serif 4"/>
          <w:b/>
          <w:color w:val="000000"/>
        </w:rPr>
        <w:t xml:space="preserve">algorithm laboratory</w:t>
      </w:r>
      <w:r>
        <w:rPr>
          <w:rFonts w:eastAsia="source serif 4" w:cs="source serif 4" w:ascii="source serif 4" w:hAnsi="source serif 4"/>
          <w:color w:val="000000"/>
        </w:rPr>
        <w:t xml:space="preserve"> with four government-defined evaluation tasks and a laptop-based evaluation surface. Anything we present must fit inside these fixed constraints:</w:t>
      </w:r>
    </w:p>
    <w:p>
      <w:pPr>
        <w:numPr>
          <w:ilvl w:val="0"/>
          <w:numId w:val="1"/>
        </w:numPr>
        <w:spacing w:line="360" w:before="105" w:after="105" w:lineRule="auto"/>
      </w:pPr>
      <w:r>
        <w:rPr>
          <w:rFonts w:eastAsia="source serif 4" w:cs="source serif 4" w:ascii="source serif 4" w:hAnsi="source serif 4"/>
          <w:color w:val="000000"/>
          <w:sz w:val="21"/>
        </w:rPr>
        <w:t xml:space="preserve">Government-defined tasks: </w:t>
      </w:r>
      <w:r>
        <w:rPr>
          <w:rFonts w:eastAsia="source serif 4" w:cs="source serif 4" w:ascii="source serif 4" w:hAnsi="source serif 4"/>
          <w:b/>
          <w:color w:val="000000"/>
          <w:sz w:val="21"/>
        </w:rPr>
        <w:t xml:space="preserve">Task 12 Pattern Analysis, Task 13 Link Analysis, Task 8 Courses of Action, Task 14 Map Product.</w:t>
      </w:r>
    </w:p>
    <w:p>
      <w:pPr>
        <w:numPr>
          <w:ilvl w:val="0"/>
          <w:numId w:val="1"/>
        </w:numPr>
        <w:spacing w:line="360" w:before="105" w:after="105" w:lineRule="auto"/>
      </w:pPr>
      <w:r>
        <w:rPr>
          <w:rFonts w:eastAsia="source serif 4" w:cs="source serif 4" w:ascii="source serif 4" w:hAnsi="source serif 4"/>
          <w:color w:val="000000"/>
          <w:sz w:val="21"/>
        </w:rPr>
        <w:t xml:space="preserve">Unclassified, open datasets and open compute.</w:t>
      </w:r>
    </w:p>
    <w:p>
      <w:pPr>
        <w:numPr>
          <w:ilvl w:val="0"/>
          <w:numId w:val="1"/>
        </w:numPr>
        <w:spacing w:line="360" w:before="105" w:after="105" w:lineRule="auto"/>
      </w:pPr>
      <w:r>
        <w:rPr>
          <w:rFonts w:eastAsia="source serif 4" w:cs="source serif 4" w:ascii="source serif 4" w:hAnsi="source serif 4"/>
          <w:color w:val="000000"/>
          <w:sz w:val="21"/>
        </w:rPr>
        <w:t xml:space="preserve">Two-person team (Morgan PI + one engineer TBD).</w:t>
      </w:r>
    </w:p>
    <w:p>
      <w:pPr>
        <w:numPr>
          <w:ilvl w:val="0"/>
          <w:numId w:val="1"/>
        </w:numPr>
        <w:spacing w:line="360" w:before="105" w:after="105" w:lineRule="auto"/>
      </w:pPr>
      <w:r>
        <w:rPr>
          <w:rFonts w:eastAsia="source serif 4" w:cs="source serif 4" w:ascii="source serif 4" w:hAnsi="source serif 4"/>
          <w:color w:val="000000"/>
          <w:sz w:val="21"/>
        </w:rPr>
        <w:t xml:space="preserve">Laptops only in the room: CUDA-LAPTOP (16 GB VRAM) + APPLE-LAPTOP (64 GB unified memory).</w:t>
      </w:r>
    </w:p>
    <w:p>
      <w:pPr>
        <w:numPr>
          <w:ilvl w:val="0"/>
          <w:numId w:val="1"/>
        </w:numPr>
        <w:spacing w:line="360" w:before="105" w:after="105" w:lineRule="auto"/>
      </w:pPr>
      <w:r>
        <w:rPr>
          <w:rFonts w:eastAsia="source serif 4" w:cs="source serif 4" w:ascii="source serif 4" w:hAnsi="source serif 4"/>
          <w:color w:val="000000"/>
          <w:sz w:val="21"/>
        </w:rPr>
        <w:t xml:space="preserve">Live cold start ≤ 30 s; Task 12 ≤ 90 s; Task 13 ≤ 120 s; MYCA COA ≤ 240 s; integrated demo ≤ 420 s.</w:t>
      </w:r>
    </w:p>
    <w:p>
      <w:pPr>
        <w:numPr>
          <w:ilvl w:val="0"/>
          <w:numId w:val="1"/>
        </w:numPr>
        <w:spacing w:line="360" w:before="105" w:after="105" w:lineRule="auto"/>
      </w:pPr>
      <w:r>
        <w:rPr>
          <w:rFonts w:eastAsia="source serif 4" w:cs="source serif 4" w:ascii="source serif 4" w:hAnsi="source serif 4"/>
          <w:color w:val="000000"/>
          <w:sz w:val="21"/>
        </w:rPr>
        <w:t xml:space="preserve">Deterministic, reproducible, five seeds (11, 17, 23, 29, 31), signed run artifacts.</w:t>
      </w:r>
    </w:p>
    <w:p>
      <w:pPr>
        <w:numPr>
          <w:ilvl w:val="0"/>
          <w:numId w:val="1"/>
        </w:numPr>
        <w:spacing w:line="360" w:before="105" w:after="105" w:lineRule="auto"/>
      </w:pPr>
      <w:r>
        <w:rPr>
          <w:rFonts w:eastAsia="source serif 4" w:cs="source serif 4" w:ascii="source serif 4" w:hAnsi="source serif 4"/>
          <w:color w:val="000000"/>
          <w:sz w:val="21"/>
        </w:rPr>
        <w:t xml:space="preserve">Honest maturity boundary — cannot pretrain multi-billion-parameter foundation model in the 8-24 h laptop window; we ship 120 M / 500 M / 1.5 B fine-tunable NLM tiers.</w:t>
      </w:r>
    </w:p>
    <w:p>
      <w:pPr>
        <w:spacing w:line="360" w:after="210" w:lineRule="auto"/>
      </w:pPr>
      <w:r>
        <w:rPr>
          <w:rFonts w:eastAsia="source serif 4" w:cs="source serif 4" w:ascii="source serif 4" w:hAnsi="source serif 4"/>
          <w:b/>
          <w:color w:val="000000"/>
        </w:rPr>
        <w:t xml:space="preserve">Nothing about FormSpace or NLM changes any of those rules.</w:t>
      </w:r>
      <w:r>
        <w:rPr>
          <w:rFonts w:eastAsia="source serif 4" w:cs="source serif 4" w:ascii="source serif 4" w:hAnsi="source serif 4"/>
          <w:color w:val="000000"/>
        </w:rPr>
        <w:t xml:space="preserve"> FormSpace changes the </w:t>
      </w:r>
      <w:r>
        <w:rPr>
          <w:rFonts w:eastAsia="source serif 4" w:cs="source serif 4" w:ascii="source serif 4" w:hAnsi="source serif 4"/>
          <w:i/>
          <w:color w:val="000000"/>
        </w:rPr>
        <w:t xml:space="preserve">story we tell about what the algorithms are actually doing</w:t>
      </w:r>
      <w:r>
        <w:rPr>
          <w:rFonts w:eastAsia="source serif 4" w:cs="source serif 4" w:ascii="source serif 4" w:hAnsi="source serif 4"/>
          <w:color w:val="000000"/>
        </w:rPr>
        <w:t xml:space="preserve"> and the </w:t>
      </w:r>
      <w:r>
        <w:rPr>
          <w:rFonts w:eastAsia="source serif 4" w:cs="source serif 4" w:ascii="source serif 4" w:hAnsi="source serif 4"/>
          <w:i/>
          <w:color w:val="000000"/>
        </w:rPr>
        <w:t xml:space="preserve">math we present as our scientific moat</w:t>
      </w:r>
      <w:r>
        <w:rPr>
          <w:rFonts w:eastAsia="source serif 4" w:cs="source serif 4" w:ascii="source serif 4" w:hAnsi="source serif 4"/>
          <w:color w:val="000000"/>
        </w:rPr>
        <w:t xml:space="preserve">. The four tasks, the harness, the datasets, the timing budgets, and the room constraints stay exactly as pre-planned.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bm_1_the_reframe_in_one_sentence"/>
      <w:r>
        <w:rPr>
          <w:rFonts w:eastAsia="source serif 4" w:cs="source serif 4" w:ascii="source serif 4" w:hAnsi="source serif 4"/>
          <w:b/>
          <w:color w:val="000000"/>
          <w:sz w:val="24"/>
        </w:rPr>
        <w:t xml:space="preserve">1. The reframe in one sentence</w:t>
      </w:r>
      <w:bookmarkEnd w:id="2"/>
    </w:p>
    <w:p>
      <w:pPr>
        <w:spacing w:line="360" w:after="210" w:lineRule="auto"/>
      </w:pPr>
      <w:r>
        <w:rPr>
          <w:rFonts w:eastAsia="source serif 4" w:cs="source serif 4" w:ascii="source serif 4" w:hAnsi="source serif 4"/>
          <w:b/>
          <w:color w:val="000000"/>
        </w:rPr>
        <w:t xml:space="preserve">Before:</w:t>
      </w:r>
      <w:r>
        <w:rPr>
          <w:rFonts w:eastAsia="source serif 4" w:cs="source serif 4" w:ascii="source serif 4" w:hAnsi="source serif 4"/>
          <w:color w:val="000000"/>
        </w:rPr>
        <w:t xml:space="preserve"> "Here is a pattern algorithm, a link algorithm, and a COA agent on a laptop."</w:t>
      </w:r>
    </w:p>
    <w:p>
      <w:pPr>
        <w:spacing w:line="360" w:after="210" w:lineRule="auto"/>
      </w:pPr>
      <w:r>
        <w:rPr>
          <w:rFonts w:eastAsia="source serif 4" w:cs="source serif 4" w:ascii="source serif 4" w:hAnsi="source serif 4"/>
          <w:b/>
          <w:color w:val="000000"/>
        </w:rPr>
        <w:t xml:space="preserve">After:</w:t>
      </w:r>
      <w:r>
        <w:rPr>
          <w:rFonts w:eastAsia="source serif 4" w:cs="source serif 4" w:ascii="source serif 4" w:hAnsi="source serif 4"/>
          <w:color w:val="000000"/>
        </w:rPr>
        <w:t xml:space="preserve"> "Every one of these algorithms is a specific operation on Form Space — the equivalence structure the Nature Learning Model discovers over signals. Pattern Analysis finds classes in Form Space. Link Analysis is graph inference over the class relations. Courses of Action are constrained moves on the admissible submanifold. Map Products are deterministic projections of the same Form Space onto Army-consumable coordinates. Same math object, four operations, one evidence chain."</w:t>
      </w:r>
    </w:p>
    <w:p>
      <w:pPr>
        <w:spacing w:line="360" w:after="210" w:lineRule="auto"/>
      </w:pPr>
      <w:r>
        <w:rPr>
          <w:rFonts w:eastAsia="source serif 4" w:cs="source serif 4" w:ascii="source serif 4" w:hAnsi="source serif 4"/>
          <w:color w:val="000000"/>
        </w:rPr>
        <w:t xml:space="preserve">This gives us one thesis that ties the four government tasks into one scientific claim, and it upgrades our position from </w:t>
      </w:r>
      <w:r>
        <w:rPr>
          <w:rFonts w:eastAsia="source serif 4" w:cs="source serif 4" w:ascii="source serif 4" w:hAnsi="source serif 4"/>
          <w:i/>
          <w:color w:val="000000"/>
        </w:rPr>
        <w:t xml:space="preserve">"another AI vendor with algorithms"</w:t>
      </w:r>
      <w:r>
        <w:rPr>
          <w:rFonts w:eastAsia="source serif 4" w:cs="source serif 4" w:ascii="source serif 4" w:hAnsi="source serif 4"/>
          <w:color w:val="000000"/>
        </w:rPr>
        <w:t xml:space="preserve"> to </w:t>
      </w:r>
      <w:r>
        <w:rPr>
          <w:rFonts w:eastAsia="source serif 4" w:cs="source serif 4" w:ascii="source serif 4" w:hAnsi="source serif 4"/>
          <w:i/>
          <w:color w:val="000000"/>
        </w:rPr>
        <w:t xml:space="preserve">"the team that formalized what the signal-native representation is."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bm_2_formspace_nlm_the_working_de_d72260"/>
      <w:r>
        <w:rPr>
          <w:rFonts w:eastAsia="source serif 4" w:cs="source serif 4" w:ascii="source serif 4" w:hAnsi="source serif 4"/>
          <w:b/>
          <w:color w:val="000000"/>
          <w:sz w:val="24"/>
        </w:rPr>
        <w:t xml:space="preserve">2. FormSpace + NLM — the working definitions we present</w:t>
      </w:r>
      <w:bookmarkEnd w:id="3"/>
    </w:p>
    <w:p>
      <w:pPr>
        <w:spacing w:line="360" w:after="210" w:lineRule="auto"/>
      </w:pPr>
      <w:r>
        <w:rPr>
          <w:rFonts w:eastAsia="source serif 4" w:cs="source serif 4" w:ascii="source serif 4" w:hAnsi="source serif 4"/>
          <w:color w:val="000000"/>
        </w:rPr>
        <w:t xml:space="preserve">We present four short definitions on the record (deck slide and printed one-pager). Every claim we make in the room reduces to one of these four.</w:t>
      </w:r>
    </w:p>
    <w:p>
      <w:pPr>
        <w:spacing w:line="360" w:after="210" w:lineRule="auto"/>
      </w:pPr>
      <w:r>
        <w:rPr>
          <w:rFonts w:eastAsia="source serif 4" w:cs="source serif 4" w:ascii="source serif 4" w:hAnsi="source serif 4"/>
          <w:b/>
          <w:color w:val="000000"/>
        </w:rPr>
        <w:t xml:space="preserve">D1. Latent physical state.</w:t>
      </w:r>
      <w:r>
        <w:rPr>
          <w:rFonts w:eastAsia="source serif 4" w:cs="source serif 4" w:ascii="source serif 4" w:hAnsi="source serif 4"/>
          <w:color w:val="000000"/>
        </w:rPr>
        <w:t xml:space="preserve"> Sensor observations </w:t>
      </w:r>
      <w:r>
        <w:rPr>
          <w:rStyle w:val="VerbatimChar"/>
          <w:rFonts w:eastAsia="menlo" w:cs="menlo" w:ascii="menlo" w:hAnsi="menlo"/>
          <w:color w:val="000000"/>
          <w:sz w:val="18"/>
          <w:shd w:val="clear" w:color="auto" w:fill="F8F8FA"/>
        </w:rPr>
        <w:t xml:space="preserve">y_t^(m)</w:t>
      </w:r>
      <w:r>
        <w:rPr>
          <w:rFonts w:eastAsia="source serif 4" w:cs="source serif 4" w:ascii="source serif 4" w:hAnsi="source serif 4"/>
          <w:color w:val="000000"/>
        </w:rPr>
        <w:t xml:space="preserve"> from </w:t>
      </w:r>
      <w:r>
        <w:rPr>
          <w:rStyle w:val="VerbatimChar"/>
          <w:rFonts w:eastAsia="menlo" w:cs="menlo" w:ascii="menlo" w:hAnsi="menlo"/>
          <w:color w:val="000000"/>
          <w:sz w:val="18"/>
          <w:shd w:val="clear" w:color="auto" w:fill="F8F8FA"/>
        </w:rPr>
        <w:t xml:space="preserve">M</w:t>
      </w:r>
      <w:r>
        <w:rPr>
          <w:rFonts w:eastAsia="source serif 4" w:cs="source serif 4" w:ascii="source serif 4" w:hAnsi="source serif 4"/>
          <w:color w:val="000000"/>
        </w:rPr>
        <w:t xml:space="preserve"> modalities are noisy views of a partially observed dynamical system with hidden state </w:t>
      </w:r>
      <w:r>
        <w:rPr>
          <w:rStyle w:val="VerbatimChar"/>
          <w:rFonts w:eastAsia="menlo" w:cs="menlo" w:ascii="menlo" w:hAnsi="menlo"/>
          <w:color w:val="000000"/>
          <w:sz w:val="18"/>
          <w:shd w:val="clear" w:color="auto" w:fill="F8F8FA"/>
        </w:rPr>
        <w:t xml:space="preserve">s_t</w:t>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Style w:val="VerbatimChar"/>
          <w:rFonts w:eastAsia="menlo" w:cs="menlo" w:ascii="menlo" w:hAnsi="menlo"/>
          <w:color w:val="000000"/>
          <w:sz w:val="18"/>
          <w:shd w:val="clear" w:color="auto" w:fill="F8F8FA"/>
        </w:rPr>
        <w:t xml:space="preserve">y_t^(m) = h_m(s_t, c_t, κ_t^(m)) + ε_t^(m)</w:t>
      </w:r>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b/>
          <w:color w:val="000000"/>
        </w:rPr>
        <w:t xml:space="preserve">D2. The signal map Λ.</w:t>
      </w:r>
      <w:r>
        <w:rPr>
          <w:rFonts w:eastAsia="source serif 4" w:cs="source serif 4" w:ascii="source serif 4" w:hAnsi="source serif 4"/>
          <w:color w:val="000000"/>
        </w:rPr>
        <w:t xml:space="preserve"> NLM learns a modality-agnostic map </w:t>
      </w:r>
      <w:r>
        <w:rPr>
          <w:rStyle w:val="VerbatimChar"/>
          <w:rFonts w:eastAsia="menlo" w:cs="menlo" w:ascii="menlo" w:hAnsi="menlo"/>
          <w:color w:val="000000"/>
          <w:sz w:val="18"/>
          <w:shd w:val="clear" w:color="auto" w:fill="F8F8FA"/>
        </w:rPr>
        <w:t xml:space="preserve">Λ: X → Z</w:t>
      </w:r>
      <w:r>
        <w:rPr>
          <w:rFonts w:eastAsia="source serif 4" w:cs="source serif 4" w:ascii="source serif 4" w:hAnsi="source serif 4"/>
          <w:color w:val="000000"/>
        </w:rPr>
        <w:t xml:space="preserve"> from calibrated multi-modal signals to a latent embedding, trained with masked reconstruction, contrastive alignment, physics regularization, and calibration losses (10 losses total; see math plan §4-5).</w:t>
      </w:r>
    </w:p>
    <w:p>
      <w:pPr>
        <w:spacing w:line="360" w:after="210" w:lineRule="auto"/>
      </w:pPr>
      <w:r>
        <w:rPr>
          <w:rFonts w:eastAsia="source serif 4" w:cs="source serif 4" w:ascii="source serif 4" w:hAnsi="source serif 4"/>
          <w:b/>
          <w:color w:val="000000"/>
        </w:rPr>
        <w:t xml:space="preserve">D3. Form Space </w:t>
      </w:r>
      <w:r>
        <w:rPr>
          <w:rStyle w:val="VerbatimChar"/>
          <w:rFonts w:eastAsia="source serif 4" w:cs="source serif 4" w:ascii="source serif 4" w:hAnsi="source serif 4"/>
          <w:b/>
          <w:color w:val="000000"/>
          <w:shd w:val="clear" w:color="auto" w:fill="F8F8FA"/>
        </w:rPr>
        <w:t xml:space="preserve">F_Λ = X / ~Λ.</w:t>
      </w:r>
      <w:r>
        <w:rPr>
          <w:rFonts w:eastAsia="source serif 4" w:cs="source serif 4" w:ascii="source serif 4" w:hAnsi="source serif 4"/>
          <w:color w:val="000000"/>
        </w:rPr>
        <w:t xml:space="preserve"> Two observations </w:t>
      </w:r>
      <w:r>
        <w:rPr>
          <w:rStyle w:val="VerbatimChar"/>
          <w:rFonts w:eastAsia="menlo" w:cs="menlo" w:ascii="menlo" w:hAnsi="menlo"/>
          <w:color w:val="000000"/>
          <w:sz w:val="18"/>
          <w:shd w:val="clear" w:color="auto" w:fill="F8F8FA"/>
        </w:rPr>
        <w:t xml:space="preserve">x₁</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x₂</w:t>
      </w:r>
      <w:r>
        <w:rPr>
          <w:rFonts w:eastAsia="source serif 4" w:cs="source serif 4" w:ascii="source serif 4" w:hAnsi="source serif 4"/>
          <w:color w:val="000000"/>
        </w:rPr>
        <w:t xml:space="preserve"> are Form-equivalent (</w:t>
      </w:r>
      <w:r>
        <w:rPr>
          <w:rStyle w:val="VerbatimChar"/>
          <w:rFonts w:eastAsia="menlo" w:cs="menlo" w:ascii="menlo" w:hAnsi="menlo"/>
          <w:color w:val="000000"/>
          <w:sz w:val="18"/>
          <w:shd w:val="clear" w:color="auto" w:fill="F8F8FA"/>
        </w:rPr>
        <w:t xml:space="preserve">x₁ ~Λ x₂</w:t>
      </w:r>
      <w:r>
        <w:rPr>
          <w:rFonts w:eastAsia="source serif 4" w:cs="source serif 4" w:ascii="source serif 4" w:hAnsi="source serif 4"/>
          <w:color w:val="000000"/>
        </w:rPr>
        <w:t xml:space="preserve">) if </w:t>
      </w:r>
      <w:r>
        <w:rPr>
          <w:rStyle w:val="VerbatimChar"/>
          <w:rFonts w:eastAsia="menlo" w:cs="menlo" w:ascii="menlo" w:hAnsi="menlo"/>
          <w:color w:val="000000"/>
          <w:sz w:val="18"/>
          <w:shd w:val="clear" w:color="auto" w:fill="F8F8FA"/>
        </w:rPr>
        <w:t xml:space="preserve">Λ(x₁) ≈ Λ(x₂)</w:t>
      </w:r>
      <w:r>
        <w:rPr>
          <w:rFonts w:eastAsia="source serif 4" w:cs="source serif 4" w:ascii="source serif 4" w:hAnsi="source serif 4"/>
          <w:color w:val="000000"/>
        </w:rPr>
        <w:t xml:space="preserve"> under a chosen tolerance. Form Space is the quotient — the space of distinguishable states the model can actually resolve. It is a </w:t>
      </w:r>
      <w:r>
        <w:rPr>
          <w:rFonts w:eastAsia="source serif 4" w:cs="source serif 4" w:ascii="source serif 4" w:hAnsi="source serif 4"/>
          <w:i/>
          <w:color w:val="000000"/>
        </w:rPr>
        <w:t xml:space="preserve">learned</w:t>
      </w:r>
      <w:r>
        <w:rPr>
          <w:rFonts w:eastAsia="source serif 4" w:cs="source serif 4" w:ascii="source serif 4" w:hAnsi="source serif 4"/>
          <w:color w:val="000000"/>
        </w:rPr>
        <w:t xml:space="preserve"> space, not a metaphysical one, and its resolution improves with data.</w:t>
      </w:r>
    </w:p>
    <w:p>
      <w:pPr>
        <w:spacing w:line="360" w:after="210" w:lineRule="auto"/>
      </w:pPr>
      <w:r>
        <w:rPr>
          <w:rFonts w:eastAsia="source serif 4" w:cs="source serif 4" w:ascii="source serif 4" w:hAnsi="source serif 4"/>
          <w:b/>
          <w:color w:val="000000"/>
        </w:rPr>
        <w:t xml:space="preserve">D4. Admissibility gate.</w:t>
      </w:r>
      <w:r>
        <w:rPr>
          <w:rFonts w:eastAsia="source serif 4" w:cs="source serif 4" w:ascii="source serif 4" w:hAnsi="source serif 4"/>
          <w:color w:val="000000"/>
        </w:rPr>
        <w:t xml:space="preserve"> A deterministic function </w:t>
      </w:r>
      <w:r>
        <w:rPr>
          <w:rStyle w:val="VerbatimChar"/>
          <w:rFonts w:eastAsia="menlo" w:cs="menlo" w:ascii="menlo" w:hAnsi="menlo"/>
          <w:color w:val="000000"/>
          <w:sz w:val="18"/>
          <w:shd w:val="clear" w:color="auto" w:fill="F8F8FA"/>
        </w:rPr>
        <w:t xml:space="preserve">G(E, φ, ν, A, R) → {PASS, REVIEW, DENY, PAUSE}</w:t>
      </w:r>
      <w:r>
        <w:rPr>
          <w:rFonts w:eastAsia="source serif 4" w:cs="source serif 4" w:ascii="source serif 4" w:hAnsi="source serif 4"/>
          <w:color w:val="000000"/>
        </w:rPr>
        <w:t xml:space="preserve"> decides which points in Form Space are permitted operating regions (evidence sufficiency </w:t>
      </w:r>
      <w:r>
        <w:rPr>
          <w:rStyle w:val="VerbatimChar"/>
          <w:rFonts w:eastAsia="menlo" w:cs="menlo" w:ascii="menlo" w:hAnsi="menlo"/>
          <w:color w:val="000000"/>
          <w:sz w:val="18"/>
          <w:shd w:val="clear" w:color="auto" w:fill="F8F8FA"/>
        </w:rPr>
        <w:t xml:space="preserve">E</w:t>
      </w:r>
      <w:r>
        <w:rPr>
          <w:rFonts w:eastAsia="source serif 4" w:cs="source serif 4" w:ascii="source serif 4" w:hAnsi="source serif 4"/>
          <w:color w:val="000000"/>
        </w:rPr>
        <w:t xml:space="preserve">, policy </w:t>
      </w:r>
      <w:r>
        <w:rPr>
          <w:rStyle w:val="VerbatimChar"/>
          <w:rFonts w:eastAsia="menlo" w:cs="menlo" w:ascii="menlo" w:hAnsi="menlo"/>
          <w:color w:val="000000"/>
          <w:sz w:val="18"/>
          <w:shd w:val="clear" w:color="auto" w:fill="F8F8FA"/>
        </w:rPr>
        <w:t xml:space="preserve">φ</w:t>
      </w:r>
      <w:r>
        <w:rPr>
          <w:rFonts w:eastAsia="source serif 4" w:cs="source serif 4" w:ascii="source serif 4" w:hAnsi="source serif 4"/>
          <w:color w:val="000000"/>
        </w:rPr>
        <w:t xml:space="preserve">, environmental stewardship </w:t>
      </w:r>
      <w:r>
        <w:rPr>
          <w:rStyle w:val="VerbatimChar"/>
          <w:rFonts w:eastAsia="menlo" w:cs="menlo" w:ascii="menlo" w:hAnsi="menlo"/>
          <w:color w:val="000000"/>
          <w:sz w:val="18"/>
          <w:shd w:val="clear" w:color="auto" w:fill="F8F8FA"/>
        </w:rPr>
        <w:t xml:space="preserve">ν</w:t>
      </w:r>
      <w:r>
        <w:rPr>
          <w:rFonts w:eastAsia="source serif 4" w:cs="source serif 4" w:ascii="source serif 4" w:hAnsi="source serif 4"/>
          <w:color w:val="000000"/>
        </w:rPr>
        <w:t xml:space="preserve">, action envelope </w:t>
      </w:r>
      <w:r>
        <w:rPr>
          <w:rStyle w:val="VerbatimChar"/>
          <w:rFonts w:eastAsia="menlo" w:cs="menlo" w:ascii="menlo" w:hAnsi="menlo"/>
          <w:color w:val="000000"/>
          <w:sz w:val="18"/>
          <w:shd w:val="clear" w:color="auto" w:fill="F8F8FA"/>
        </w:rPr>
        <w:t xml:space="preserve">A</w:t>
      </w:r>
      <w:r>
        <w:rPr>
          <w:rFonts w:eastAsia="source serif 4" w:cs="source serif 4" w:ascii="source serif 4" w:hAnsi="source serif 4"/>
          <w:color w:val="000000"/>
        </w:rPr>
        <w:t xml:space="preserve">, rollback plan </w:t>
      </w:r>
      <w:r>
        <w:rPr>
          <w:rStyle w:val="VerbatimChar"/>
          <w:rFonts w:eastAsia="menlo" w:cs="menlo" w:ascii="menlo" w:hAnsi="menlo"/>
          <w:color w:val="000000"/>
          <w:sz w:val="18"/>
          <w:shd w:val="clear" w:color="auto" w:fill="F8F8FA"/>
        </w:rPr>
        <w:t xml:space="preserve">R</w:t>
      </w:r>
      <w:r>
        <w:rPr>
          <w:rFonts w:eastAsia="source serif 4" w:cs="source serif 4" w:ascii="source serif 4" w:hAnsi="source serif 4"/>
          <w:color w:val="000000"/>
        </w:rPr>
        <w:t xml:space="preserve">). AVANI is the enforcement layer; MYCA never proposes an action outside the admissible submanifold.</w:t>
      </w:r>
    </w:p>
    <w:p>
      <w:pPr>
        <w:spacing w:line="360" w:after="210" w:lineRule="auto"/>
      </w:pPr>
      <w:r>
        <w:rPr>
          <w:rFonts w:eastAsia="source serif 4" w:cs="source serif 4" w:ascii="source serif 4" w:hAnsi="source serif 4"/>
          <w:color w:val="000000"/>
        </w:rPr>
        <w:t xml:space="preserve">The Sierra Vista narrative frames this as: </w:t>
      </w:r>
      <w:r>
        <w:rPr>
          <w:rFonts w:eastAsia="source serif 4" w:cs="source serif 4" w:ascii="source serif 4" w:hAnsi="source serif 4"/>
          <w:i/>
          <w:color w:val="000000"/>
        </w:rPr>
        <w:t xml:space="preserve">"We are building instruments capable of determining whether the ghost leaves fingerprints"</w:t>
      </w:r>
      <w:r>
        <w:rPr>
          <w:rFonts w:eastAsia="source serif 4" w:cs="source serif 4" w:ascii="source serif 4" w:hAnsi="source serif 4"/>
          <w:color w:val="000000"/>
        </w:rPr>
        <w:t xml:space="preserve"> — but that's the philosophical hook, not the technical claim. The technical claim is D1-D4.</w:t>
      </w:r>
    </w:p>
    <w:p>
      <w:pPr>
        <w:spacing w:line="360" w:after="210" w:lineRule="auto"/>
      </w:pPr>
      <w:r>
        <w:rPr>
          <w:rFonts w:eastAsia="source serif 4" w:cs="source serif 4" w:ascii="source serif 4" w:hAnsi="source serif 4"/>
          <w:b/>
          <w:color w:val="000000"/>
        </w:rPr>
        <w:t xml:space="preserve">Anti-hype guardrails we enforce in every artifact and every answer:</w:t>
      </w:r>
    </w:p>
    <w:p>
      <w:pPr>
        <w:numPr>
          <w:ilvl w:val="0"/>
          <w:numId w:val="2"/>
        </w:numPr>
        <w:spacing w:line="360" w:before="105" w:after="105" w:lineRule="auto"/>
      </w:pPr>
      <w:r>
        <w:rPr>
          <w:rFonts w:eastAsia="source serif 4" w:cs="source serif 4" w:ascii="source serif 4" w:hAnsi="source serif 4"/>
          <w:color w:val="000000"/>
          <w:sz w:val="21"/>
        </w:rPr>
        <w:t xml:space="preserve">Never say "world's first," "fungi speak," or "universal foundation" without cited evidence.</w:t>
      </w:r>
    </w:p>
    <w:p>
      <w:pPr>
        <w:numPr>
          <w:ilvl w:val="0"/>
          <w:numId w:val="2"/>
        </w:numPr>
        <w:spacing w:line="360" w:before="105" w:after="105" w:lineRule="auto"/>
      </w:pPr>
      <w:r>
        <w:rPr>
          <w:rFonts w:eastAsia="source serif 4" w:cs="source serif 4" w:ascii="source serif 4" w:hAnsi="source serif 4"/>
          <w:color w:val="000000"/>
          <w:sz w:val="21"/>
        </w:rPr>
        <w:t xml:space="preserve">Never conflate: source-defined | intended architecture | proposed formalization | empirical claim.</w:t>
      </w:r>
    </w:p>
    <w:p>
      <w:pPr>
        <w:numPr>
          <w:ilvl w:val="0"/>
          <w:numId w:val="2"/>
        </w:numPr>
        <w:spacing w:line="360" w:before="105" w:after="105" w:lineRule="auto"/>
      </w:pPr>
      <w:r>
        <w:rPr>
          <w:rFonts w:eastAsia="source serif 4" w:cs="source serif 4" w:ascii="source serif 4" w:hAnsi="source serif 4"/>
          <w:color w:val="000000"/>
          <w:sz w:val="21"/>
        </w:rPr>
        <w:t xml:space="preserve">Never claim biological </w:t>
      </w:r>
      <w:r>
        <w:rPr>
          <w:rFonts w:eastAsia="source serif 4" w:cs="source serif 4" w:ascii="source serif 4" w:hAnsi="source serif 4"/>
          <w:i/>
          <w:color w:val="000000"/>
          <w:sz w:val="21"/>
        </w:rPr>
        <w:t xml:space="preserve">prediction</w:t>
      </w:r>
      <w:r>
        <w:rPr>
          <w:rFonts w:eastAsia="source serif 4" w:cs="source serif 4" w:ascii="source serif 4" w:hAnsi="source serif 4"/>
          <w:color w:val="000000"/>
          <w:sz w:val="21"/>
        </w:rPr>
        <w:t xml:space="preserve"> — only measured biosignal </w:t>
      </w:r>
      <w:r>
        <w:rPr>
          <w:rFonts w:eastAsia="source serif 4" w:cs="source serif 4" w:ascii="source serif 4" w:hAnsi="source serif 4"/>
          <w:i/>
          <w:color w:val="000000"/>
          <w:sz w:val="21"/>
        </w:rPr>
        <w:t xml:space="preserve">contribution</w:t>
      </w:r>
      <w:r>
        <w:rPr>
          <w:rFonts w:eastAsia="source serif 4" w:cs="source serif 4" w:ascii="source serif 4" w:hAnsi="source serif 4"/>
          <w:color w:val="000000"/>
          <w:sz w:val="21"/>
        </w:rPr>
        <w:t xml:space="preserve"> to a joint state estimate.</w:t>
      </w:r>
    </w:p>
    <w:p>
      <w:pPr>
        <w:numPr>
          <w:ilvl w:val="0"/>
          <w:numId w:val="2"/>
        </w:numPr>
        <w:spacing w:line="360" w:before="105" w:after="105" w:lineRule="auto"/>
      </w:pPr>
      <w:r>
        <w:rPr>
          <w:rFonts w:eastAsia="source serif 4" w:cs="source serif 4" w:ascii="source serif 4" w:hAnsi="source serif 4"/>
          <w:color w:val="000000"/>
          <w:sz w:val="21"/>
        </w:rPr>
        <w:t xml:space="preserve">NLM expands to </w:t>
      </w:r>
      <w:r>
        <w:rPr>
          <w:rFonts w:eastAsia="source serif 4" w:cs="source serif 4" w:ascii="source serif 4" w:hAnsi="source serif 4"/>
          <w:b/>
          <w:color w:val="000000"/>
          <w:sz w:val="21"/>
        </w:rPr>
        <w:t xml:space="preserve">Nature Learning Model</w:t>
      </w:r>
      <w:r>
        <w:rPr>
          <w:rFonts w:eastAsia="source serif 4" w:cs="source serif 4" w:ascii="source serif 4" w:hAnsi="source serif 4"/>
          <w:color w:val="000000"/>
          <w:sz w:val="21"/>
        </w:rPr>
        <w:t xml:space="preserve">, not "Natural Language for Mycology."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bm_3_task_by_task_reframe_fits_in_b235fa"/>
      <w:r>
        <w:rPr>
          <w:rFonts w:eastAsia="source serif 4" w:cs="source serif 4" w:ascii="source serif 4" w:hAnsi="source serif 4"/>
          <w:b/>
          <w:color w:val="000000"/>
          <w:sz w:val="24"/>
        </w:rPr>
        <w:t xml:space="preserve">3. Task-by-task reframe (fits inside existing math plan §12-14)</w:t>
      </w:r>
      <w:bookmarkEnd w:id="4"/>
    </w:p>
    <w:p>
      <w:pPr>
        <w:spacing w:line="360" w:before="315" w:after="105" w:lineRule="auto"/>
        <w:ind w:left="-30"/>
        <w:jc w:val="left"/>
      </w:pPr>
      <w:bookmarkStart w:id="5" w:name="task_12_pattern_analysis_equivale_df7138"/>
      <w:r>
        <w:rPr>
          <w:rFonts w:eastAsia="source serif 4" w:cs="source serif 4" w:ascii="source serif 4" w:hAnsi="source serif 4"/>
          <w:b/>
          <w:color w:val="000000"/>
          <w:sz w:val="24"/>
        </w:rPr>
        <w:t xml:space="preserve">Task 12 — Pattern Analysis → </w:t>
      </w:r>
      <w:r>
        <w:rPr>
          <w:rFonts w:eastAsia="source serif 4" w:cs="source serif 4" w:ascii="source serif 4" w:hAnsi="source serif 4"/>
          <w:b/>
          <w:i/>
          <w:color w:val="000000"/>
          <w:sz w:val="24"/>
        </w:rPr>
        <w:t xml:space="preserve">"Equivalence-class discovery in Form Space"</w:t>
      </w:r>
      <w:bookmarkEnd w:id="5"/>
    </w:p>
    <w:p>
      <w:pPr>
        <w:spacing w:line="360" w:after="210" w:lineRule="auto"/>
      </w:pPr>
      <w:r>
        <w:rPr>
          <w:rFonts w:eastAsia="source serif 4" w:cs="source serif 4" w:ascii="source serif 4" w:hAnsi="source serif 4"/>
          <w:b/>
          <w:color w:val="000000"/>
        </w:rPr>
        <w:t xml:space="preserve">What we already planned to run:</w:t>
      </w:r>
      <w:r>
        <w:rPr>
          <w:rFonts w:eastAsia="source serif 4" w:cs="source serif 4" w:ascii="source serif 4" w:hAnsi="source serif 4"/>
          <w:color w:val="000000"/>
        </w:rPr>
        <w:t xml:space="preserve"> SSM/Mamba selective state-space backbone at 120 M / 500 M / 1.5 B; classical robust-z + persistence baseline; matched sequence baseline; ablations for FCI removal, imagery removal, acoustic removal, clock error, packet delay, sensor drift.</w:t>
      </w:r>
    </w:p>
    <w:p>
      <w:pPr>
        <w:spacing w:line="360" w:after="210" w:lineRule="auto"/>
      </w:pPr>
      <w:r>
        <w:rPr>
          <w:rFonts w:eastAsia="source serif 4" w:cs="source serif 4" w:ascii="source serif 4" w:hAnsi="source serif 4"/>
          <w:b/>
          <w:color w:val="000000"/>
        </w:rPr>
        <w:t xml:space="preserve">FormSpace reframe:</w:t>
      </w:r>
      <w:r>
        <w:rPr>
          <w:rFonts w:eastAsia="source serif 4" w:cs="source serif 4" w:ascii="source serif 4" w:hAnsi="source serif 4"/>
          <w:color w:val="000000"/>
        </w:rPr>
        <w:t xml:space="preserve"> Pattern Analysis = </w:t>
      </w:r>
      <w:r>
        <w:rPr>
          <w:rFonts w:eastAsia="source serif 4" w:cs="source serif 4" w:ascii="source serif 4" w:hAnsi="source serif 4"/>
          <w:i/>
          <w:color w:val="000000"/>
        </w:rPr>
        <w:t xml:space="preserve">identifying Form-equivalence classes over time.</w:t>
      </w:r>
      <w:r>
        <w:rPr>
          <w:rFonts w:eastAsia="source serif 4" w:cs="source serif 4" w:ascii="source serif 4" w:hAnsi="source serif 4"/>
          <w:color w:val="000000"/>
        </w:rPr>
        <w:t xml:space="preserve"> Each detected pattern is a cluster of observations that map to a common region of </w:t>
      </w:r>
      <w:r>
        <w:rPr>
          <w:rStyle w:val="VerbatimChar"/>
          <w:rFonts w:eastAsia="menlo" w:cs="menlo" w:ascii="menlo" w:hAnsi="menlo"/>
          <w:color w:val="000000"/>
          <w:sz w:val="18"/>
          <w:shd w:val="clear" w:color="auto" w:fill="F8F8FA"/>
        </w:rPr>
        <w:t xml:space="preserve">F_Λ</w:t>
      </w:r>
      <w:r>
        <w:rPr>
          <w:rFonts w:eastAsia="source serif 4" w:cs="source serif 4" w:ascii="source serif 4" w:hAnsi="source serif 4"/>
          <w:color w:val="000000"/>
        </w:rPr>
        <w:t xml:space="preserve">. The SSM computes </w:t>
      </w:r>
      <w:r>
        <w:rPr>
          <w:rStyle w:val="VerbatimChar"/>
          <w:rFonts w:eastAsia="menlo" w:cs="menlo" w:ascii="menlo" w:hAnsi="menlo"/>
          <w:color w:val="000000"/>
          <w:sz w:val="18"/>
          <w:shd w:val="clear" w:color="auto" w:fill="F8F8FA"/>
        </w:rPr>
        <w:t xml:space="preserve">q_θ(s_t | o_{1:t})</w:t>
      </w:r>
      <w:r>
        <w:rPr>
          <w:rFonts w:eastAsia="source serif 4" w:cs="source serif 4" w:ascii="source serif 4" w:hAnsi="source serif 4"/>
          <w:color w:val="000000"/>
        </w:rPr>
        <w:t xml:space="preserve">; the pattern score is the posterior likelihood that consecutive observations belong to the same class.</w:t>
      </w:r>
    </w:p>
    <w:p>
      <w:pPr>
        <w:spacing w:line="360" w:after="210" w:lineRule="auto"/>
      </w:pPr>
      <w:r>
        <w:rPr>
          <w:rFonts w:eastAsia="source serif 4" w:cs="source serif 4" w:ascii="source serif 4" w:hAnsi="source serif 4"/>
          <w:b/>
          <w:color w:val="000000"/>
        </w:rPr>
        <w:t xml:space="preserve">What changes in the deck / narrative:</w:t>
      </w:r>
    </w:p>
    <w:p>
      <w:pPr>
        <w:numPr>
          <w:ilvl w:val="0"/>
          <w:numId w:val="3"/>
        </w:numPr>
        <w:spacing w:line="360" w:before="105" w:after="105" w:lineRule="auto"/>
      </w:pPr>
      <w:r>
        <w:rPr>
          <w:rFonts w:eastAsia="source serif 4" w:cs="source serif 4" w:ascii="source serif 4" w:hAnsi="source serif 4"/>
          <w:color w:val="000000"/>
          <w:sz w:val="21"/>
        </w:rPr>
        <w:t xml:space="preserve">Slide 8 title: "Pattern Analysis — equivalence classes in Form Space."</w:t>
      </w:r>
    </w:p>
    <w:p>
      <w:pPr>
        <w:numPr>
          <w:ilvl w:val="0"/>
          <w:numId w:val="3"/>
        </w:numPr>
        <w:spacing w:line="360" w:before="105" w:after="105" w:lineRule="auto"/>
      </w:pPr>
      <w:r>
        <w:rPr>
          <w:rFonts w:eastAsia="source serif 4" w:cs="source serif 4" w:ascii="source serif 4" w:hAnsi="source serif 4"/>
          <w:color w:val="000000"/>
          <w:sz w:val="21"/>
        </w:rPr>
        <w:t xml:space="preserve">The precision/recall table stays; add a </w:t>
      </w:r>
      <w:r>
        <w:rPr>
          <w:rFonts w:eastAsia="source serif 4" w:cs="source serif 4" w:ascii="source serif 4" w:hAnsi="source serif 4"/>
          <w:b/>
          <w:color w:val="000000"/>
          <w:sz w:val="21"/>
        </w:rPr>
        <w:t xml:space="preserve">calibration column (ECE)</w:t>
      </w:r>
      <w:r>
        <w:rPr>
          <w:rFonts w:eastAsia="source serif 4" w:cs="source serif 4" w:ascii="source serif 4" w:hAnsi="source serif 4"/>
          <w:color w:val="000000"/>
          <w:sz w:val="21"/>
        </w:rPr>
        <w:t xml:space="preserve"> and a </w:t>
      </w:r>
      <w:r>
        <w:rPr>
          <w:rFonts w:eastAsia="source serif 4" w:cs="source serif 4" w:ascii="source serif 4" w:hAnsi="source serif 4"/>
          <w:b/>
          <w:color w:val="000000"/>
          <w:sz w:val="21"/>
        </w:rPr>
        <w:t xml:space="preserve">class-stability column</w:t>
      </w:r>
      <w:r>
        <w:rPr>
          <w:rFonts w:eastAsia="source serif 4" w:cs="source serif 4" w:ascii="source serif 4" w:hAnsi="source serif 4"/>
          <w:color w:val="000000"/>
          <w:sz w:val="21"/>
        </w:rPr>
        <w:t xml:space="preserve"> (are the same equivalence classes recovered across seeds?).</w:t>
      </w:r>
    </w:p>
    <w:p>
      <w:pPr>
        <w:numPr>
          <w:ilvl w:val="0"/>
          <w:numId w:val="3"/>
        </w:numPr>
        <w:spacing w:line="360" w:before="105" w:after="105" w:lineRule="auto"/>
      </w:pPr>
      <w:r>
        <w:rPr>
          <w:rFonts w:eastAsia="source serif 4" w:cs="source serif 4" w:ascii="source serif 4" w:hAnsi="source serif 4"/>
          <w:color w:val="000000"/>
          <w:sz w:val="21"/>
        </w:rPr>
        <w:t xml:space="preserve">Explicit failure mode: single drifting sensor → the Form-class boundary shifts → NLM downgrades confidence and flags calibration.</w:t>
      </w:r>
    </w:p>
    <w:p>
      <w:pPr>
        <w:spacing w:line="360" w:after="210" w:lineRule="auto"/>
      </w:pPr>
      <w:r>
        <w:rPr>
          <w:rFonts w:eastAsia="source serif 4" w:cs="source serif 4" w:ascii="source serif 4" w:hAnsi="source serif 4"/>
          <w:b/>
          <w:color w:val="000000"/>
        </w:rPr>
        <w:t xml:space="preserve">What does NOT change:</w:t>
      </w:r>
      <w:r>
        <w:rPr>
          <w:rFonts w:eastAsia="source serif 4" w:cs="source serif 4" w:ascii="source serif 4" w:hAnsi="source serif 4"/>
          <w:color w:val="000000"/>
        </w:rPr>
        <w:t xml:space="preserve"> timing budget (≤ 90 s live), the deterministic baseline runs first, five seeds, grouped bootstrap, held-out data splits.</w:t>
      </w:r>
    </w:p>
    <w:p>
      <w:pPr>
        <w:spacing w:line="360" w:after="210" w:lineRule="auto"/>
      </w:pPr>
      <w:r>
        <w:rPr>
          <w:rFonts w:eastAsia="source serif 4" w:cs="source serif 4" w:ascii="source serif 4" w:hAnsi="source serif 4"/>
          <w:b/>
          <w:color w:val="000000"/>
        </w:rPr>
        <w:t xml:space="preserve">Kept-prep PDF to revise:</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ITDX26_Algorithm_Design_Task12_NLM_Pattern_Mycosoft_2026-09-01.pdf</w:t>
      </w:r>
      <w:r>
        <w:rPr>
          <w:rFonts w:eastAsia="source serif 4" w:cs="source serif 4" w:ascii="source serif 4" w:hAnsi="source serif 4"/>
          <w:color w:val="000000"/>
        </w:rPr>
        <w:t xml:space="preserve"> — rewrite §1 (Overview) and §2 (Method) to lead with Form Space, keep §3-§7 (implementation, timing, ablations, metrics, risks) intact.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task_13_link_analysis_typed_hyper_d0b57d"/>
      <w:r>
        <w:rPr>
          <w:rFonts w:eastAsia="source serif 4" w:cs="source serif 4" w:ascii="source serif 4" w:hAnsi="source serif 4"/>
          <w:b/>
          <w:color w:val="000000"/>
          <w:sz w:val="24"/>
        </w:rPr>
        <w:t xml:space="preserve">Task 13 — Link Analysis → </w:t>
      </w:r>
      <w:r>
        <w:rPr>
          <w:rFonts w:eastAsia="source serif 4" w:cs="source serif 4" w:ascii="source serif 4" w:hAnsi="source serif 4"/>
          <w:b/>
          <w:i/>
          <w:color w:val="000000"/>
          <w:sz w:val="24"/>
        </w:rPr>
        <w:t xml:space="preserve">"Typed hypergraph inference over Form classes"</w:t>
      </w:r>
      <w:bookmarkEnd w:id="6"/>
    </w:p>
    <w:p>
      <w:pPr>
        <w:spacing w:line="360" w:after="210" w:lineRule="auto"/>
      </w:pPr>
      <w:r>
        <w:rPr>
          <w:rFonts w:eastAsia="source serif 4" w:cs="source serif 4" w:ascii="source serif 4" w:hAnsi="source serif 4"/>
          <w:b/>
          <w:color w:val="000000"/>
        </w:rPr>
        <w:t xml:space="preserve">What we already planned to run:</w:t>
      </w:r>
      <w:r>
        <w:rPr>
          <w:rFonts w:eastAsia="source serif 4" w:cs="source serif 4" w:ascii="source serif 4" w:hAnsi="source serif 4"/>
          <w:color w:val="000000"/>
        </w:rPr>
        <w:t xml:space="preserve"> typed relational GNN + PageRank / centrality baseline + community detection + counterfactual node removal; deterministic entity/event association first.</w:t>
      </w:r>
    </w:p>
    <w:p>
      <w:pPr>
        <w:spacing w:line="360" w:after="210" w:lineRule="auto"/>
      </w:pPr>
      <w:r>
        <w:rPr>
          <w:rFonts w:eastAsia="source serif 4" w:cs="source serif 4" w:ascii="source serif 4" w:hAnsi="source serif 4"/>
          <w:b/>
          <w:color w:val="000000"/>
        </w:rPr>
        <w:t xml:space="preserve">FormSpace reframe:</w:t>
      </w:r>
      <w:r>
        <w:rPr>
          <w:rFonts w:eastAsia="source serif 4" w:cs="source serif 4" w:ascii="source serif 4" w:hAnsi="source serif 4"/>
          <w:color w:val="000000"/>
        </w:rPr>
        <w:t xml:space="preserve"> Link Analysis = </w:t>
      </w:r>
      <w:r>
        <w:rPr>
          <w:rFonts w:eastAsia="source serif 4" w:cs="source serif 4" w:ascii="source serif 4" w:hAnsi="source serif 4"/>
          <w:i/>
          <w:color w:val="000000"/>
        </w:rPr>
        <w:t xml:space="preserve">hypergraph structure over Form-classes.</w:t>
      </w:r>
      <w:r>
        <w:rPr>
          <w:rFonts w:eastAsia="source serif 4" w:cs="source serif 4" w:ascii="source serif 4" w:hAnsi="source serif 4"/>
          <w:color w:val="000000"/>
        </w:rPr>
        <w:t xml:space="preserve"> Nodes = Form-classes and evidence items; edges = typed relations (measured, produced, derived, corroborated, contradicted, authorized, dispatched, acknowledged, resulted). A "link" is a Form-space-consistent relation with sufficient independent evidence (≥ 2 nodes, ≥ 2 modalities per §8.3 of the MYCA harness spec).</w:t>
      </w:r>
    </w:p>
    <w:p>
      <w:pPr>
        <w:spacing w:line="360" w:after="210" w:lineRule="auto"/>
      </w:pPr>
      <w:r>
        <w:rPr>
          <w:rFonts w:eastAsia="source serif 4" w:cs="source serif 4" w:ascii="source serif 4" w:hAnsi="source serif 4"/>
          <w:b/>
          <w:color w:val="000000"/>
        </w:rPr>
        <w:t xml:space="preserve">What changes in the deck / narrative:</w:t>
      </w:r>
    </w:p>
    <w:p>
      <w:pPr>
        <w:numPr>
          <w:ilvl w:val="0"/>
          <w:numId w:val="4"/>
        </w:numPr>
        <w:spacing w:line="360" w:before="105" w:after="105" w:lineRule="auto"/>
      </w:pPr>
      <w:r>
        <w:rPr>
          <w:rFonts w:eastAsia="source serif 4" w:cs="source serif 4" w:ascii="source serif 4" w:hAnsi="source serif 4"/>
          <w:color w:val="000000"/>
          <w:sz w:val="21"/>
        </w:rPr>
        <w:t xml:space="preserve">Slide 9 title: "Link Analysis — typed hypergraph on Form-classes."</w:t>
      </w:r>
    </w:p>
    <w:p>
      <w:pPr>
        <w:numPr>
          <w:ilvl w:val="0"/>
          <w:numId w:val="4"/>
        </w:numPr>
        <w:spacing w:line="360" w:before="105" w:after="105" w:lineRule="auto"/>
      </w:pPr>
      <w:r>
        <w:rPr>
          <w:rFonts w:eastAsia="source serif 4" w:cs="source serif 4" w:ascii="source serif 4" w:hAnsi="source serif 4"/>
          <w:color w:val="000000"/>
          <w:sz w:val="21"/>
        </w:rPr>
        <w:t xml:space="preserve">Show the observed-vs-inferred edge toggle (already in the plan) and describe it as </w:t>
      </w:r>
      <w:r>
        <w:rPr>
          <w:rFonts w:eastAsia="source serif 4" w:cs="source serif 4" w:ascii="source serif 4" w:hAnsi="source serif 4"/>
          <w:i/>
          <w:color w:val="000000"/>
          <w:sz w:val="21"/>
        </w:rPr>
        <w:t xml:space="preserve">"which edges survive when we require Form-consistency."</w:t>
      </w:r>
    </w:p>
    <w:p>
      <w:pPr>
        <w:numPr>
          <w:ilvl w:val="0"/>
          <w:numId w:val="4"/>
        </w:numPr>
        <w:spacing w:line="360" w:before="105" w:after="105" w:lineRule="auto"/>
      </w:pPr>
      <w:r>
        <w:rPr>
          <w:rFonts w:eastAsia="source serif 4" w:cs="source serif 4" w:ascii="source serif 4" w:hAnsi="source serif 4"/>
          <w:color w:val="000000"/>
          <w:sz w:val="21"/>
        </w:rPr>
        <w:t xml:space="preserve">Counterfactual demo (already planned): remove Agaric → show which evidence paths disappear → framed as </w:t>
      </w:r>
      <w:r>
        <w:rPr>
          <w:rFonts w:eastAsia="source serif 4" w:cs="source serif 4" w:ascii="source serif 4" w:hAnsi="source serif 4"/>
          <w:i/>
          <w:color w:val="000000"/>
          <w:sz w:val="21"/>
        </w:rPr>
        <w:t xml:space="preserve">"which Form-classes lose their supporting relations."</w:t>
      </w:r>
    </w:p>
    <w:p>
      <w:pPr>
        <w:spacing w:line="360" w:after="210" w:lineRule="auto"/>
      </w:pPr>
      <w:r>
        <w:rPr>
          <w:rFonts w:eastAsia="source serif 4" w:cs="source serif 4" w:ascii="source serif 4" w:hAnsi="source serif 4"/>
          <w:b/>
          <w:color w:val="000000"/>
        </w:rPr>
        <w:t xml:space="preserve">What does NOT change:</w:t>
      </w:r>
      <w:r>
        <w:rPr>
          <w:rFonts w:eastAsia="source serif 4" w:cs="source serif 4" w:ascii="source serif 4" w:hAnsi="source serif 4"/>
          <w:color w:val="000000"/>
        </w:rPr>
        <w:t xml:space="preserve"> timing budget (≤ 120 s), deterministic baseline first, held-out link prediction on labeled benchmark (not invented from one run — this discipline is called out in Coastal Sentinel §6.3).</w:t>
      </w:r>
    </w:p>
    <w:p>
      <w:pPr>
        <w:spacing w:line="360" w:after="210" w:lineRule="auto"/>
      </w:pPr>
      <w:r>
        <w:rPr>
          <w:rFonts w:eastAsia="source serif 4" w:cs="source serif 4" w:ascii="source serif 4" w:hAnsi="source serif 4"/>
          <w:b/>
          <w:color w:val="000000"/>
        </w:rPr>
        <w:t xml:space="preserve">Kept-prep PDF to revise:</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ITDX26_Algorithm_Design_Task13_FUSARIUM_Link_Mycosoft_2026-09-01.pdf</w:t>
      </w:r>
      <w:r>
        <w:rPr>
          <w:rFonts w:eastAsia="source serif 4" w:cs="source serif 4" w:ascii="source serif 4" w:hAnsi="source serif 4"/>
          <w:color w:val="000000"/>
        </w:rPr>
        <w:t xml:space="preserve"> — same treatment as Task 12: lead with FormSpace hypergraph framing in §1-§2, preserve implementation.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task_8_courses_of_action_constrai_37093c"/>
      <w:r>
        <w:rPr>
          <w:rFonts w:eastAsia="source serif 4" w:cs="source serif 4" w:ascii="source serif 4" w:hAnsi="source serif 4"/>
          <w:b/>
          <w:color w:val="000000"/>
          <w:sz w:val="24"/>
        </w:rPr>
        <w:t xml:space="preserve">Task 8 — Courses of Action → </w:t>
      </w:r>
      <w:r>
        <w:rPr>
          <w:rFonts w:eastAsia="source serif 4" w:cs="source serif 4" w:ascii="source serif 4" w:hAnsi="source serif 4"/>
          <w:b/>
          <w:i/>
          <w:color w:val="000000"/>
          <w:sz w:val="24"/>
        </w:rPr>
        <w:t xml:space="preserve">"Constrained action selection on the admissible submanifold"</w:t>
      </w:r>
      <w:bookmarkEnd w:id="7"/>
    </w:p>
    <w:p>
      <w:pPr>
        <w:spacing w:line="360" w:after="210" w:lineRule="auto"/>
      </w:pPr>
      <w:r>
        <w:rPr>
          <w:rFonts w:eastAsia="source serif 4" w:cs="source serif 4" w:ascii="source serif 4" w:hAnsi="source serif 4"/>
          <w:b/>
          <w:color w:val="000000"/>
        </w:rPr>
        <w:t xml:space="preserve">What we already planned to run:</w:t>
      </w:r>
      <w:r>
        <w:rPr>
          <w:rFonts w:eastAsia="source serif 4" w:cs="source serif 4" w:ascii="source serif 4" w:hAnsi="source serif 4"/>
          <w:color w:val="000000"/>
        </w:rPr>
        <w:t xml:space="preserve"> MYCA seven-agent loop (state summarizer, COA proposer, ops critic, safety/AVANI critic, comms/energy critic, evidence verifier, final synthesizer); log-opinion pool; AVANI gate; comparison against single-agent baseline and multi-agent-without-verifier.</w:t>
      </w:r>
    </w:p>
    <w:p>
      <w:pPr>
        <w:spacing w:line="360" w:after="210" w:lineRule="auto"/>
      </w:pPr>
      <w:r>
        <w:rPr>
          <w:rFonts w:eastAsia="source serif 4" w:cs="source serif 4" w:ascii="source serif 4" w:hAnsi="source serif 4"/>
          <w:b/>
          <w:color w:val="000000"/>
        </w:rPr>
        <w:t xml:space="preserve">FormSpace reframe:</w:t>
      </w:r>
      <w:r>
        <w:rPr>
          <w:rFonts w:eastAsia="source serif 4" w:cs="source serif 4" w:ascii="source serif 4" w:hAnsi="source serif 4"/>
          <w:color w:val="000000"/>
        </w:rPr>
        <w:t xml:space="preserve"> COAs = </w:t>
      </w:r>
      <w:r>
        <w:rPr>
          <w:rFonts w:eastAsia="source serif 4" w:cs="source serif 4" w:ascii="source serif 4" w:hAnsi="source serif 4"/>
          <w:i/>
          <w:color w:val="000000"/>
        </w:rPr>
        <w:t xml:space="preserve">proposed trajectories through Form Space</w:t>
      </w:r>
      <w:r>
        <w:rPr>
          <w:rFonts w:eastAsia="source serif 4" w:cs="source serif 4" w:ascii="source serif 4" w:hAnsi="source serif 4"/>
          <w:color w:val="000000"/>
        </w:rPr>
        <w:t xml:space="preserve">, filtered by the admissibility gate </w:t>
      </w:r>
      <w:r>
        <w:rPr>
          <w:rStyle w:val="VerbatimChar"/>
          <w:rFonts w:eastAsia="menlo" w:cs="menlo" w:ascii="menlo" w:hAnsi="menlo"/>
          <w:color w:val="000000"/>
          <w:sz w:val="18"/>
          <w:shd w:val="clear" w:color="auto" w:fill="F8F8FA"/>
        </w:rPr>
        <w:t xml:space="preserve">G(E, φ, ν, A, R)</w:t>
      </w:r>
      <w:r>
        <w:rPr>
          <w:rFonts w:eastAsia="source serif 4" w:cs="source serif 4" w:ascii="source serif 4" w:hAnsi="source serif 4"/>
          <w:color w:val="000000"/>
        </w:rPr>
        <w:t xml:space="preserve">. The proposer generates candidate trajectories; critics evaluate against the four gate criteria; the AVANI gate deterministically rejects any trajectory that exits the admissible submanifold; the synthesizer ranks the surviving set by expected information gain, safety margin, and reversibility.</w:t>
      </w:r>
    </w:p>
    <w:p>
      <w:pPr>
        <w:spacing w:line="360" w:after="210" w:lineRule="auto"/>
      </w:pPr>
      <w:r>
        <w:rPr>
          <w:rFonts w:eastAsia="source serif 4" w:cs="source serif 4" w:ascii="source serif 4" w:hAnsi="source serif 4"/>
          <w:b/>
          <w:color w:val="000000"/>
        </w:rPr>
        <w:t xml:space="preserve">What changes in the deck / narrative:</w:t>
      </w:r>
    </w:p>
    <w:p>
      <w:pPr>
        <w:numPr>
          <w:ilvl w:val="0"/>
          <w:numId w:val="5"/>
        </w:numPr>
        <w:spacing w:line="360" w:before="105" w:after="105" w:lineRule="auto"/>
      </w:pPr>
      <w:r>
        <w:rPr>
          <w:rFonts w:eastAsia="source serif 4" w:cs="source serif 4" w:ascii="source serif 4" w:hAnsi="source serif 4"/>
          <w:color w:val="000000"/>
          <w:sz w:val="21"/>
        </w:rPr>
        <w:t xml:space="preserve">Slide 10 title: "Courses of Action — constrained trajectories on the admissible submanifold."</w:t>
      </w:r>
    </w:p>
    <w:p>
      <w:pPr>
        <w:numPr>
          <w:ilvl w:val="0"/>
          <w:numId w:val="5"/>
        </w:numPr>
        <w:spacing w:line="360" w:before="105" w:after="105" w:lineRule="auto"/>
      </w:pPr>
      <w:r>
        <w:rPr>
          <w:rFonts w:eastAsia="source serif 4" w:cs="source serif 4" w:ascii="source serif 4" w:hAnsi="source serif 4"/>
          <w:color w:val="000000"/>
          <w:sz w:val="21"/>
        </w:rPr>
        <w:t xml:space="preserve">Explicit action envelope in every COA output: </w:t>
      </w:r>
      <w:r>
        <w:rPr>
          <w:rStyle w:val="VerbatimChar"/>
          <w:rFonts w:eastAsia="menlo" w:cs="menlo" w:ascii="menlo" w:hAnsi="menlo"/>
          <w:color w:val="000000"/>
          <w:sz w:val="18"/>
          <w:shd w:val="clear" w:color="auto" w:fill="F8F8FA"/>
        </w:rPr>
        <w:t xml:space="preserve">(identity, scope, magnitude, duration, preconditions, stop conditions, rollback, authority)</w:t>
      </w:r>
      <w:r>
        <w:rPr>
          <w:rFonts w:eastAsia="source serif 4" w:cs="source serif 4" w:ascii="source serif 4" w:hAnsi="source serif 4"/>
          <w:color w:val="000000"/>
          <w:sz w:val="21"/>
        </w:rPr>
        <w:t xml:space="preserve">. This is already in the NLM scientific architecture — surface it as the operator-visible field.</w:t>
      </w:r>
    </w:p>
    <w:p>
      <w:pPr>
        <w:numPr>
          <w:ilvl w:val="0"/>
          <w:numId w:val="5"/>
        </w:numPr>
        <w:spacing w:line="360" w:before="105" w:after="105" w:lineRule="auto"/>
      </w:pPr>
      <w:r>
        <w:rPr>
          <w:rFonts w:eastAsia="source serif 4" w:cs="source serif 4" w:ascii="source serif 4" w:hAnsi="source serif 4"/>
          <w:color w:val="000000"/>
          <w:sz w:val="21"/>
        </w:rPr>
        <w:t xml:space="preserve">Comparison metric: </w:t>
      </w:r>
      <w:r>
        <w:rPr>
          <w:rFonts w:eastAsia="source serif 4" w:cs="source serif 4" w:ascii="source serif 4" w:hAnsi="source serif 4"/>
          <w:b/>
          <w:color w:val="000000"/>
          <w:sz w:val="21"/>
        </w:rPr>
        <w:t xml:space="preserve">unsupported-assertion rate</w:t>
      </w:r>
      <w:r>
        <w:rPr>
          <w:rFonts w:eastAsia="source serif 4" w:cs="source serif 4" w:ascii="source serif 4" w:hAnsi="source serif 4"/>
          <w:color w:val="000000"/>
          <w:sz w:val="21"/>
        </w:rPr>
        <w:t xml:space="preserve"> (from the MYCA harness §7.3 metrics list) as the headline number distinguishing multi-agent-with-verifier from single-agent.</w:t>
      </w:r>
    </w:p>
    <w:p>
      <w:pPr>
        <w:spacing w:line="360" w:after="210" w:lineRule="auto"/>
      </w:pPr>
      <w:r>
        <w:rPr>
          <w:rFonts w:eastAsia="source serif 4" w:cs="source serif 4" w:ascii="source serif 4" w:hAnsi="source serif 4"/>
          <w:b/>
          <w:color w:val="000000"/>
        </w:rPr>
        <w:t xml:space="preserve">What does NOT change:</w:t>
      </w:r>
      <w:r>
        <w:rPr>
          <w:rFonts w:eastAsia="source serif 4" w:cs="source serif 4" w:ascii="source serif 4" w:hAnsi="source serif 4"/>
          <w:color w:val="000000"/>
        </w:rPr>
        <w:t xml:space="preserve"> ≤ 240 s live COA time, deterministic algorithms in the loop, human disposition at the end, no autonomous high-risk actuation.</w:t>
      </w:r>
    </w:p>
    <w:p>
      <w:pPr>
        <w:spacing w:line="360" w:after="210" w:lineRule="auto"/>
      </w:pPr>
      <w:r>
        <w:rPr>
          <w:rFonts w:eastAsia="source serif 4" w:cs="source serif 4" w:ascii="source serif 4" w:hAnsi="source serif 4"/>
          <w:b/>
          <w:color w:val="000000"/>
        </w:rPr>
        <w:t xml:space="preserve">Kept-prep PDF to revise:</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ITDX26_Algorithm_Design_Task8_MYCA_Mycosoft_2026-09-01.pdf</w:t>
      </w:r>
      <w:r>
        <w:rPr>
          <w:rFonts w:eastAsia="source serif 4" w:cs="source serif 4" w:ascii="source serif 4" w:hAnsi="source serif 4"/>
          <w:color w:val="000000"/>
        </w:rPr>
        <w:t xml:space="preserve"> — add a §2.1 subsection on the admissibility gate math and the action envelope; the seven-agent loop and comparison metrics stay.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 w:name="task_14_map_product_deterministic_2b75ce"/>
      <w:r>
        <w:rPr>
          <w:rFonts w:eastAsia="source serif 4" w:cs="source serif 4" w:ascii="source serif 4" w:hAnsi="source serif 4"/>
          <w:b/>
          <w:color w:val="000000"/>
          <w:sz w:val="24"/>
        </w:rPr>
        <w:t xml:space="preserve">Task 14 — Map Product → </w:t>
      </w:r>
      <w:r>
        <w:rPr>
          <w:rFonts w:eastAsia="source serif 4" w:cs="source serif 4" w:ascii="source serif 4" w:hAnsi="source serif 4"/>
          <w:b/>
          <w:i/>
          <w:color w:val="000000"/>
          <w:sz w:val="24"/>
        </w:rPr>
        <w:t xml:space="preserve">"Deterministic projection from Form Space to Army coordinates"</w:t>
      </w:r>
      <w:bookmarkEnd w:id="8"/>
    </w:p>
    <w:p>
      <w:pPr>
        <w:spacing w:line="360" w:after="210" w:lineRule="auto"/>
      </w:pPr>
      <w:r>
        <w:rPr>
          <w:rFonts w:eastAsia="source serif 4" w:cs="source serif 4" w:ascii="source serif 4" w:hAnsi="source serif 4"/>
          <w:b/>
          <w:color w:val="000000"/>
        </w:rPr>
        <w:t xml:space="preserve">What we already planned to run:</w:t>
      </w:r>
      <w:r>
        <w:rPr>
          <w:rFonts w:eastAsia="source serif 4" w:cs="source serif 4" w:ascii="source serif 4" w:hAnsi="source serif 4"/>
          <w:color w:val="000000"/>
        </w:rPr>
        <w:t xml:space="preserve"> deterministic fallback map product (no ML in the critical path) — device positions &amp; health, direct + relayed comms, hazard proxy + uncertainty envelope, tracks, event timeline, evidence inspection, classification banner.</w:t>
      </w:r>
    </w:p>
    <w:p>
      <w:pPr>
        <w:spacing w:line="360" w:after="210" w:lineRule="auto"/>
      </w:pPr>
      <w:r>
        <w:rPr>
          <w:rFonts w:eastAsia="source serif 4" w:cs="source serif 4" w:ascii="source serif 4" w:hAnsi="source serif 4"/>
          <w:b/>
          <w:color w:val="000000"/>
        </w:rPr>
        <w:t xml:space="preserve">FormSpace reframe:</w:t>
      </w:r>
      <w:r>
        <w:rPr>
          <w:rFonts w:eastAsia="source serif 4" w:cs="source serif 4" w:ascii="source serif 4" w:hAnsi="source serif 4"/>
          <w:color w:val="000000"/>
        </w:rPr>
        <w:t xml:space="preserve"> Map Product = </w:t>
      </w:r>
      <w:r>
        <w:rPr>
          <w:rFonts w:eastAsia="source serif 4" w:cs="source serif 4" w:ascii="source serif 4" w:hAnsi="source serif 4"/>
          <w:i/>
          <w:color w:val="000000"/>
        </w:rPr>
        <w:t xml:space="preserve">deterministic projection from the learned latent manifold onto Army-consumable geospatial coordinates.</w:t>
      </w:r>
      <w:r>
        <w:rPr>
          <w:rFonts w:eastAsia="source serif 4" w:cs="source serif 4" w:ascii="source serif 4" w:hAnsi="source serif 4"/>
          <w:color w:val="000000"/>
        </w:rPr>
        <w:t xml:space="preserve"> The map is not "what the model thinks" — it is a </w:t>
      </w:r>
      <w:r>
        <w:rPr>
          <w:rFonts w:eastAsia="source serif 4" w:cs="source serif 4" w:ascii="source serif 4" w:hAnsi="source serif 4"/>
          <w:b/>
          <w:color w:val="000000"/>
        </w:rPr>
        <w:t xml:space="preserve">rendering of the state estimate with its uncertainty envelope</w:t>
      </w:r>
      <w:r>
        <w:rPr>
          <w:rFonts w:eastAsia="source serif 4" w:cs="source serif 4" w:ascii="source serif 4" w:hAnsi="source serif 4"/>
          <w:color w:val="000000"/>
        </w:rPr>
        <w:t xml:space="preserve">, computed by a deterministic function that Army SMEs can inspect end-to-end.</w:t>
      </w:r>
    </w:p>
    <w:p>
      <w:pPr>
        <w:spacing w:line="360" w:after="210" w:lineRule="auto"/>
      </w:pPr>
      <w:r>
        <w:rPr>
          <w:rFonts w:eastAsia="source serif 4" w:cs="source serif 4" w:ascii="source serif 4" w:hAnsi="source serif 4"/>
          <w:b/>
          <w:color w:val="000000"/>
        </w:rPr>
        <w:t xml:space="preserve">What changes in the deck / narrative:</w:t>
      </w:r>
    </w:p>
    <w:p>
      <w:pPr>
        <w:numPr>
          <w:ilvl w:val="0"/>
          <w:numId w:val="6"/>
        </w:numPr>
        <w:spacing w:line="360" w:before="105" w:after="105" w:lineRule="auto"/>
      </w:pPr>
      <w:r>
        <w:rPr>
          <w:rFonts w:eastAsia="source serif 4" w:cs="source serif 4" w:ascii="source serif 4" w:hAnsi="source serif 4"/>
          <w:color w:val="000000"/>
          <w:sz w:val="21"/>
        </w:rPr>
        <w:t xml:space="preserve">Slide 13 title: "Map Product — deterministic projection with uncertainty."</w:t>
      </w:r>
    </w:p>
    <w:p>
      <w:pPr>
        <w:numPr>
          <w:ilvl w:val="0"/>
          <w:numId w:val="6"/>
        </w:numPr>
        <w:spacing w:line="360" w:before="105" w:after="105" w:lineRule="auto"/>
      </w:pPr>
      <w:r>
        <w:rPr>
          <w:rFonts w:eastAsia="source serif 4" w:cs="source serif 4" w:ascii="source serif 4" w:hAnsi="source serif 4"/>
          <w:color w:val="000000"/>
          <w:sz w:val="21"/>
        </w:rPr>
        <w:t xml:space="preserve">Explicit statement: this task deliberately uses no ML in the critical path. This is our maturity signal — we know when </w:t>
      </w:r>
      <w:r>
        <w:rPr>
          <w:rFonts w:eastAsia="source serif 4" w:cs="source serif 4" w:ascii="source serif 4" w:hAnsi="source serif 4"/>
          <w:i/>
          <w:color w:val="000000"/>
          <w:sz w:val="21"/>
        </w:rPr>
        <w:t xml:space="preserve">not</w:t>
      </w:r>
      <w:r>
        <w:rPr>
          <w:rFonts w:eastAsia="source serif 4" w:cs="source serif 4" w:ascii="source serif 4" w:hAnsi="source serif 4"/>
          <w:color w:val="000000"/>
          <w:sz w:val="21"/>
        </w:rPr>
        <w:t xml:space="preserve"> to use the model.</w:t>
      </w:r>
    </w:p>
    <w:p>
      <w:pPr>
        <w:numPr>
          <w:ilvl w:val="0"/>
          <w:numId w:val="6"/>
        </w:numPr>
        <w:spacing w:line="360" w:before="105" w:after="105" w:lineRule="auto"/>
      </w:pPr>
      <w:r>
        <w:rPr>
          <w:rFonts w:eastAsia="source serif 4" w:cs="source serif 4" w:ascii="source serif 4" w:hAnsi="source serif 4"/>
          <w:color w:val="000000"/>
          <w:sz w:val="21"/>
        </w:rPr>
        <w:t xml:space="preserve">Fallback ladder is visible in the UI (medium → small → quantized → distilled → classical → prerecorded → static). Every fallback state is labeled so an Army SME can tell exactly what they are looking at.</w:t>
      </w:r>
    </w:p>
    <w:p>
      <w:pPr>
        <w:spacing w:line="360" w:after="210" w:lineRule="auto"/>
      </w:pPr>
      <w:r>
        <w:rPr>
          <w:rFonts w:eastAsia="source serif 4" w:cs="source serif 4" w:ascii="source serif 4" w:hAnsi="source serif 4"/>
          <w:b/>
          <w:color w:val="000000"/>
        </w:rPr>
        <w:t xml:space="preserve">What does NOT change:</w:t>
      </w:r>
      <w:r>
        <w:rPr>
          <w:rFonts w:eastAsia="source serif 4" w:cs="source serif 4" w:ascii="source serif 4" w:hAnsi="source serif 4"/>
          <w:color w:val="000000"/>
        </w:rPr>
        <w:t xml:space="preserve"> deterministic implementation, cold-start ≤ 30 s, labeled fallback states.</w:t>
      </w:r>
    </w:p>
    <w:p>
      <w:pPr>
        <w:spacing w:line="360" w:after="210" w:lineRule="auto"/>
      </w:pPr>
      <w:r>
        <w:rPr>
          <w:rFonts w:eastAsia="source serif 4" w:cs="source serif 4" w:ascii="source serif 4" w:hAnsi="source serif 4"/>
          <w:b/>
          <w:color w:val="000000"/>
        </w:rPr>
        <w:t xml:space="preserve">Kept-prep PDF to revise:</w:t>
      </w:r>
      <w:r>
        <w:rPr>
          <w:rFonts w:eastAsia="source serif 4" w:cs="source serif 4" w:ascii="source serif 4" w:hAnsi="source serif 4"/>
          <w:color w:val="000000"/>
        </w:rPr>
        <w:t xml:space="preserve"> none — Task 14 was not in the original six kept PDFs. Add a new one: </w:t>
      </w:r>
      <w:r>
        <w:rPr>
          <w:rStyle w:val="VerbatimChar"/>
          <w:rFonts w:eastAsia="menlo" w:cs="menlo" w:ascii="menlo" w:hAnsi="menlo"/>
          <w:color w:val="000000"/>
          <w:sz w:val="18"/>
          <w:shd w:val="clear" w:color="auto" w:fill="F8F8FA"/>
        </w:rPr>
        <w:t xml:space="preserve">ITDX26_Algorithm_Design_Task14_CREP_Map_Mycosoft_2026-09-03.pdf</w:t>
      </w:r>
      <w:r>
        <w:rPr>
          <w:rFonts w:eastAsia="source serif 4" w:cs="source serif 4" w:ascii="source serif 4" w:hAnsi="source serif 4"/>
          <w:color w:val="000000"/>
        </w:rPr>
        <w:t xml:space="preserve"> (short, ~4 pages) so the ITDX evaluators see we thought about all four tasks.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 w:name="bm_4_sierra_vista_25_minute_brief_85475e"/>
      <w:r>
        <w:rPr>
          <w:rFonts w:eastAsia="source serif 4" w:cs="source serif 4" w:ascii="source serif 4" w:hAnsi="source serif 4"/>
          <w:b/>
          <w:color w:val="000000"/>
          <w:sz w:val="24"/>
        </w:rPr>
        <w:t xml:space="preserve">4. Sierra Vista 25-minute briefing script (locked)</w:t>
      </w:r>
      <w:bookmarkEnd w:id="9"/>
    </w:p>
    <w:p>
      <w:pPr>
        <w:spacing w:line="360" w:after="210" w:lineRule="auto"/>
      </w:pPr>
      <w:r>
        <w:rPr>
          <w:rFonts w:eastAsia="source serif 4" w:cs="source serif 4" w:ascii="source serif 4" w:hAnsi="source serif 4"/>
          <w:color w:val="000000"/>
        </w:rPr>
        <w:t xml:space="preserve">The canonical script is Coastal Sentinel </w:t>
      </w:r>
      <w:r>
        <w:rPr>
          <w:rStyle w:val="VerbatimChar"/>
          <w:rFonts w:eastAsia="menlo" w:cs="menlo" w:ascii="menlo" w:hAnsi="menlo"/>
          <w:color w:val="000000"/>
          <w:sz w:val="18"/>
          <w:shd w:val="clear" w:color="auto" w:fill="F8F8FA"/>
        </w:rPr>
        <w:t xml:space="preserve">05_ITDX_PRESENTATION_AND_REPLAY_PLAN.md</w:t>
      </w:r>
      <w:r>
        <w:rPr>
          <w:rFonts w:eastAsia="source serif 4" w:cs="source serif 4" w:ascii="source serif 4" w:hAnsi="source serif 4"/>
          <w:color w:val="000000"/>
        </w:rPr>
        <w:t xml:space="preserve">. It is already correct at the flow level. We overlay one FormSpace framing sentence at each transition. Total time budget unchanged.</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Time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Segment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FormSpace overlay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0:00-1:30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90 s field-context cut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 overlay — let footage speak)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1:30-3:00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The thesis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"Every algorithm you're about to see is one operation on the same object: Form Space, the equivalence structure NLM learns from calibrated multi-modal signals."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3:00-6:00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Architecture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"NLM estimates state and uncertainty </w:t>
            </w:r>
            <w:r>
              <w:rPr>
                <w:rFonts w:eastAsia="source serif 4" w:cs="source serif 4" w:ascii="source serif 4" w:hAnsi="source serif 4"/>
                <w:i/>
                <w:color w:val="000000"/>
                <w:sz w:val="17"/>
              </w:rPr>
              <w:t xml:space="preserve">in Form Space</w:t>
            </w:r>
            <w:r>
              <w:rPr>
                <w:rFonts w:eastAsia="source sans 3" w:cs="source sans 3" w:ascii="source sans 3" w:hAnsi="source sans 3"/>
                <w:color w:val="000000"/>
                <w:sz w:val="17"/>
              </w:rPr>
              <w:t xml:space="preserve">. FUSARIUM builds typed graphs </w:t>
            </w:r>
            <w:r>
              <w:rPr>
                <w:rFonts w:eastAsia="source serif 4" w:cs="source serif 4" w:ascii="source serif 4" w:hAnsi="source serif 4"/>
                <w:i/>
                <w:color w:val="000000"/>
                <w:sz w:val="17"/>
              </w:rPr>
              <w:t xml:space="preserve">over Form-classes</w:t>
            </w:r>
            <w:r>
              <w:rPr>
                <w:rFonts w:eastAsia="source sans 3" w:cs="source sans 3" w:ascii="source sans 3" w:hAnsi="source sans 3"/>
                <w:color w:val="000000"/>
                <w:sz w:val="17"/>
              </w:rPr>
              <w:t xml:space="preserve">. MYCA proposes trajectories </w:t>
            </w:r>
            <w:r>
              <w:rPr>
                <w:rFonts w:eastAsia="source serif 4" w:cs="source serif 4" w:ascii="source serif 4" w:hAnsi="source serif 4"/>
                <w:i/>
                <w:color w:val="000000"/>
                <w:sz w:val="17"/>
              </w:rPr>
              <w:t xml:space="preserve">on the admissible submanifold</w:t>
            </w:r>
            <w:r>
              <w:rPr>
                <w:rFonts w:eastAsia="source sans 3" w:cs="source sans 3" w:ascii="source sans 3" w:hAnsi="source sans 3"/>
                <w:color w:val="000000"/>
                <w:sz w:val="17"/>
              </w:rPr>
              <w:t xml:space="preserve">. AVANI is the deterministic gate that decides which trajectories are permitted."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6:00-11:00</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Task 12 Pattern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"Pattern Analysis = equivalence-class discovery in Form Space."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11:00-15:00</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Task 13 Link</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"Link Analysis = typed hypergraph inference over Form-classes."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15:00-19:00</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Task 8 COAs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"COAs = constrained trajectories on the admissible submanifold, filtered by the AVANI gate."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19:00-21:00</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Task 14 Map</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"Map Product = deterministic projection of Form Space onto Army coordinates, with uncertainty made visible."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21:00-23:00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Failure and recovery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"When we lose a node we lose Form-class evidence; the store-and-forward + Merkle reconciliation recovers the class without inventing observations."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23:00-25:00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Limitations and ask</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Read the six honest limitations from the canonical script verbatim; ask for scoped follow-on.</w:t>
            </w:r>
          </w:p>
        </w:tc>
      </w:tr>
    </w:tbl>
    <w:p>
      <w:pPr>
        <w:spacing w:lineRule="auto"/>
      </w:pPr>
    </w:p>
    <w:p>
      <w:pPr>
        <w:spacing w:line="360" w:after="210" w:lineRule="auto"/>
      </w:pPr>
      <w:r>
        <w:rPr>
          <w:rFonts w:eastAsia="source serif 4" w:cs="source serif 4" w:ascii="source serif 4" w:hAnsi="source serif 4"/>
          <w:b/>
          <w:color w:val="000000"/>
        </w:rPr>
        <w:t xml:space="preserve">Five-minute plane-side / hallway version:</w:t>
      </w:r>
      <w:r>
        <w:rPr>
          <w:rFonts w:eastAsia="source serif 4" w:cs="source serif 4" w:ascii="source serif 4" w:hAnsi="source serif 4"/>
          <w:color w:val="000000"/>
        </w:rPr>
        <w:t xml:space="preserve"> use </w:t>
      </w:r>
      <w:r>
        <w:rPr>
          <w:rStyle w:val="VerbatimChar"/>
          <w:rFonts w:eastAsia="menlo" w:cs="menlo" w:ascii="menlo" w:hAnsi="menlo"/>
          <w:color w:val="000000"/>
          <w:sz w:val="18"/>
          <w:shd w:val="clear" w:color="auto" w:fill="F8F8FA"/>
        </w:rPr>
        <w:t xml:space="preserve">Five-Minute-Spoken-Narrative-FormSpace.md</w:t>
      </w:r>
      <w:r>
        <w:rPr>
          <w:rFonts w:eastAsia="source serif 4" w:cs="source serif 4" w:ascii="source serif 4" w:hAnsi="source serif 4"/>
          <w:color w:val="000000"/>
        </w:rPr>
        <w:t xml:space="preserve"> (199 lines, already in workspace). That is the walking-around pitch. It is </w:t>
      </w:r>
      <w:r>
        <w:rPr>
          <w:rFonts w:eastAsia="source serif 4" w:cs="source serif 4" w:ascii="source serif 4" w:hAnsi="source serif 4"/>
          <w:i/>
          <w:color w:val="000000"/>
        </w:rPr>
        <w:t xml:space="preserve">different from the 25-minute briefing</w:t>
      </w:r>
      <w:r>
        <w:rPr>
          <w:rFonts w:eastAsia="source serif 4" w:cs="source serif 4" w:ascii="source serif 4" w:hAnsi="source serif 4"/>
          <w:color w:val="000000"/>
        </w:rPr>
        <w:t xml:space="preserve"> and should not be edited to match — its job is philosophical hook, not task walkthrough.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 w:name="bm_5_what_we_build_before_sept_8"/>
      <w:r>
        <w:rPr>
          <w:rFonts w:eastAsia="source serif 4" w:cs="source serif 4" w:ascii="source serif 4" w:hAnsi="source serif 4"/>
          <w:b/>
          <w:color w:val="000000"/>
          <w:sz w:val="24"/>
        </w:rPr>
        <w:t xml:space="preserve">5. What we build before Sept 8</w:t>
      </w:r>
      <w:bookmarkEnd w:id="10"/>
    </w:p>
    <w:p>
      <w:pPr>
        <w:spacing w:line="360" w:after="210" w:lineRule="auto"/>
      </w:pPr>
      <w:r>
        <w:rPr>
          <w:rFonts w:eastAsia="source serif 4" w:cs="source serif 4" w:ascii="source serif 4" w:hAnsi="source serif 4"/>
          <w:b/>
          <w:color w:val="000000"/>
        </w:rPr>
        <w:t xml:space="preserve">Non-negotiable build list.</w:t>
      </w:r>
      <w:r>
        <w:rPr>
          <w:rFonts w:eastAsia="source serif 4" w:cs="source serif 4" w:ascii="source serif 4" w:hAnsi="source serif 4"/>
          <w:color w:val="000000"/>
        </w:rPr>
        <w:t xml:space="preserve"> Everything below runs deterministically on the two laptops, with no network dependency, and produces signed run artifacts.</w:t>
      </w:r>
    </w:p>
    <w:p>
      <w:pPr>
        <w:spacing w:line="360" w:before="315" w:after="105" w:lineRule="auto"/>
        <w:ind w:left="-30"/>
        <w:jc w:val="left"/>
      </w:pPr>
      <w:bookmarkStart w:id="11" w:name="bm_5_1_reference_harness_referenc_34e5e0"/>
      <w:r>
        <w:rPr>
          <w:rFonts w:eastAsia="source serif 4" w:cs="source serif 4" w:ascii="source serif 4" w:hAnsi="source serif 4"/>
          <w:b/>
          <w:color w:val="000000"/>
          <w:sz w:val="24"/>
        </w:rPr>
        <w:t xml:space="preserve">5.1 Reference harness (</w:t>
      </w:r>
      <w:r>
        <w:rPr>
          <w:rStyle w:val="VerbatimChar"/>
          <w:rFonts w:eastAsia="source serif 4" w:cs="source serif 4" w:ascii="source serif 4" w:hAnsi="source serif 4"/>
          <w:b/>
          <w:color w:val="000000"/>
          <w:sz w:val="24"/>
          <w:shd w:val="clear" w:color="auto" w:fill="F8F8FA"/>
        </w:rPr>
        <w:t xml:space="preserve">reference_harness/myca_scenario_harness.py</w:t>
      </w:r>
      <w:r>
        <w:rPr>
          <w:rFonts w:eastAsia="source serif 4" w:cs="source serif 4" w:ascii="source serif 4" w:hAnsi="source serif 4"/>
          <w:b/>
          <w:color w:val="000000"/>
          <w:sz w:val="24"/>
        </w:rPr>
        <w:t xml:space="preserve">)</w:t>
      </w:r>
      <w:bookmarkEnd w:id="11"/>
    </w:p>
    <w:p>
      <w:pPr>
        <w:numPr>
          <w:ilvl w:val="0"/>
          <w:numId w:val="7"/>
        </w:numPr>
        <w:spacing w:line="360" w:before="105" w:after="105" w:lineRule="auto"/>
      </w:pPr>
      <w:r>
        <w:rPr>
          <w:rStyle w:val="VerbatimChar"/>
          <w:rFonts w:eastAsia="menlo" w:cs="menlo" w:ascii="menlo" w:hAnsi="menlo"/>
          <w:color w:val="000000"/>
          <w:sz w:val="18"/>
          <w:shd w:val="clear" w:color="auto" w:fill="F8F8FA"/>
        </w:rPr>
        <w:t xml:space="preserve">validate</w:t>
      </w:r>
      <w:r>
        <w:rPr>
          <w:rFonts w:eastAsia="source serif 4" w:cs="source serif 4" w:ascii="source serif 4" w:hAnsi="source serif 4"/>
          <w:color w:val="000000"/>
          <w:sz w:val="21"/>
        </w:rPr>
        <w:t xml:space="preserve"> / </w:t>
      </w:r>
      <w:r>
        <w:rPr>
          <w:rStyle w:val="VerbatimChar"/>
          <w:rFonts w:eastAsia="menlo" w:cs="menlo" w:ascii="menlo" w:hAnsi="menlo"/>
          <w:color w:val="000000"/>
          <w:sz w:val="18"/>
          <w:shd w:val="clear" w:color="auto" w:fill="F8F8FA"/>
        </w:rPr>
        <w:t xml:space="preserve">compile</w:t>
      </w:r>
      <w:r>
        <w:rPr>
          <w:rFonts w:eastAsia="source serif 4" w:cs="source serif 4" w:ascii="source serif 4" w:hAnsi="source serif 4"/>
          <w:color w:val="000000"/>
          <w:sz w:val="21"/>
        </w:rPr>
        <w:t xml:space="preserve"> / </w:t>
      </w:r>
      <w:r>
        <w:rPr>
          <w:rStyle w:val="VerbatimChar"/>
          <w:rFonts w:eastAsia="menlo" w:cs="menlo" w:ascii="menlo" w:hAnsi="menlo"/>
          <w:color w:val="000000"/>
          <w:sz w:val="18"/>
          <w:shd w:val="clear" w:color="auto" w:fill="F8F8FA"/>
        </w:rPr>
        <w:t xml:space="preserve">replay</w:t>
      </w:r>
      <w:r>
        <w:rPr>
          <w:rFonts w:eastAsia="source serif 4" w:cs="source serif 4" w:ascii="source serif 4" w:hAnsi="source serif 4"/>
          <w:color w:val="000000"/>
          <w:sz w:val="21"/>
        </w:rPr>
        <w:t xml:space="preserve"> verbs (already in the Coastal Sentinel v1.0 package).</w:t>
      </w:r>
    </w:p>
    <w:p>
      <w:pPr>
        <w:numPr>
          <w:ilvl w:val="0"/>
          <w:numId w:val="7"/>
        </w:numPr>
        <w:spacing w:line="360" w:before="105" w:after="105" w:lineRule="auto"/>
      </w:pPr>
      <w:r>
        <w:rPr>
          <w:rFonts w:eastAsia="source serif 4" w:cs="source serif 4" w:ascii="source serif 4" w:hAnsi="source serif 4"/>
          <w:color w:val="000000"/>
          <w:sz w:val="21"/>
        </w:rPr>
        <w:t xml:space="preserve">Consumes </w:t>
      </w:r>
      <w:r>
        <w:rPr>
          <w:rStyle w:val="VerbatimChar"/>
          <w:rFonts w:eastAsia="menlo" w:cs="menlo" w:ascii="menlo" w:hAnsi="menlo"/>
          <w:color w:val="000000"/>
          <w:sz w:val="18"/>
          <w:shd w:val="clear" w:color="auto" w:fill="F8F8FA"/>
        </w:rPr>
        <w:t xml:space="preserve">scenarios/coastal_sentinel_01.yaml</w:t>
      </w:r>
      <w:r>
        <w:rPr>
          <w:rFonts w:eastAsia="source serif 4" w:cs="source serif 4" w:ascii="source serif 4" w:hAnsi="source serif 4"/>
          <w:color w:val="000000"/>
          <w:sz w:val="21"/>
        </w:rPr>
        <w:t xml:space="preserve"> + </w:t>
      </w:r>
      <w:r>
        <w:rPr>
          <w:rStyle w:val="VerbatimChar"/>
          <w:rFonts w:eastAsia="menlo" w:cs="menlo" w:ascii="menlo" w:hAnsi="menlo"/>
          <w:color w:val="000000"/>
          <w:sz w:val="18"/>
          <w:shd w:val="clear" w:color="auto" w:fill="F8F8FA"/>
        </w:rPr>
        <w:t xml:space="preserve">sample_observations.jsonl</w:t>
      </w:r>
      <w:r>
        <w:rPr>
          <w:rFonts w:eastAsia="source serif 4" w:cs="source serif 4" w:ascii="source serif 4" w:hAnsi="source serif 4"/>
          <w:color w:val="000000"/>
          <w:sz w:val="21"/>
        </w:rPr>
        <w:t xml:space="preserve">.</w:t>
      </w:r>
    </w:p>
    <w:p>
      <w:pPr>
        <w:numPr>
          <w:ilvl w:val="0"/>
          <w:numId w:val="7"/>
        </w:numPr>
        <w:spacing w:line="360" w:before="105" w:after="105" w:lineRule="auto"/>
      </w:pPr>
      <w:r>
        <w:rPr>
          <w:rFonts w:eastAsia="source serif 4" w:cs="source serif 4" w:ascii="source serif 4" w:hAnsi="source serif 4"/>
          <w:color w:val="000000"/>
          <w:sz w:val="21"/>
        </w:rPr>
        <w:t xml:space="preserve">Emits </w:t>
      </w:r>
      <w:r>
        <w:rPr>
          <w:rStyle w:val="VerbatimChar"/>
          <w:rFonts w:eastAsia="menlo" w:cs="menlo" w:ascii="menlo" w:hAnsi="menlo"/>
          <w:color w:val="000000"/>
          <w:sz w:val="18"/>
          <w:shd w:val="clear" w:color="auto" w:fill="F8F8FA"/>
        </w:rPr>
        <w:t xml:space="preserve">demo_output/</w:t>
      </w:r>
      <w:r>
        <w:rPr>
          <w:rFonts w:eastAsia="source serif 4" w:cs="source serif 4" w:ascii="source serif 4" w:hAnsi="source serif 4"/>
          <w:color w:val="000000"/>
          <w:sz w:val="21"/>
        </w:rPr>
        <w:t xml:space="preserve"> with: run manifest, per-task metric CSV, per-task run log, Merkle root, SHA-256 list.</w:t>
      </w:r>
    </w:p>
    <w:p>
      <w:pPr>
        <w:spacing w:line="360" w:before="315" w:after="105" w:lineRule="auto"/>
        <w:ind w:left="-30"/>
        <w:jc w:val="left"/>
      </w:pPr>
      <w:bookmarkStart w:id="12" w:name="bm_5_2_dirtnet_4_node_emulator"/>
      <w:r>
        <w:rPr>
          <w:rFonts w:eastAsia="source serif 4" w:cs="source serif 4" w:ascii="source serif 4" w:hAnsi="source serif 4"/>
          <w:b/>
          <w:color w:val="000000"/>
          <w:sz w:val="24"/>
        </w:rPr>
        <w:t xml:space="preserve">5.2 DIRTNet 4-node emulator</w:t>
      </w:r>
      <w:bookmarkEnd w:id="12"/>
    </w:p>
    <w:p>
      <w:pPr>
        <w:numPr>
          <w:ilvl w:val="0"/>
          <w:numId w:val="8"/>
        </w:numPr>
        <w:spacing w:line="360" w:before="105" w:after="105" w:lineRule="auto"/>
      </w:pPr>
      <w:r>
        <w:rPr>
          <w:rFonts w:eastAsia="source serif 4" w:cs="source serif 4" w:ascii="source serif 4" w:hAnsi="source serif 4"/>
          <w:color w:val="000000"/>
          <w:sz w:val="21"/>
        </w:rPr>
        <w:t xml:space="preserve">Four virtual nodes: </w:t>
      </w:r>
      <w:r>
        <w:rPr>
          <w:rStyle w:val="VerbatimChar"/>
          <w:rFonts w:eastAsia="menlo" w:cs="menlo" w:ascii="menlo" w:hAnsi="menlo"/>
          <w:color w:val="000000"/>
          <w:sz w:val="18"/>
          <w:shd w:val="clear" w:color="auto" w:fill="F8F8FA"/>
        </w:rPr>
        <w:t xml:space="preserve">edge-pattern-a</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edge-link-b</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edge-sensing-c</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field-gateway</w:t>
      </w:r>
      <w:r>
        <w:rPr>
          <w:rFonts w:eastAsia="source serif 4" w:cs="source serif 4" w:ascii="source serif 4" w:hAnsi="source serif 4"/>
          <w:color w:val="000000"/>
          <w:sz w:val="21"/>
        </w:rPr>
        <w:t xml:space="preserve">.</w:t>
      </w:r>
    </w:p>
    <w:p>
      <w:pPr>
        <w:numPr>
          <w:ilvl w:val="0"/>
          <w:numId w:val="8"/>
        </w:numPr>
        <w:spacing w:line="360" w:before="105" w:after="105" w:lineRule="auto"/>
      </w:pPr>
      <w:r>
        <w:rPr>
          <w:rFonts w:eastAsia="source serif 4" w:cs="source serif 4" w:ascii="source serif 4" w:hAnsi="source serif 4"/>
          <w:color w:val="000000"/>
          <w:sz w:val="21"/>
        </w:rPr>
        <w:t xml:space="preserve">Conditions C0 (clean), C1 (drift), C2 (packet loss), C3 (partition).</w:t>
      </w:r>
    </w:p>
    <w:p>
      <w:pPr>
        <w:numPr>
          <w:ilvl w:val="0"/>
          <w:numId w:val="8"/>
        </w:numPr>
        <w:spacing w:line="360" w:before="105" w:after="105" w:lineRule="auto"/>
      </w:pPr>
      <w:r>
        <w:rPr>
          <w:rFonts w:eastAsia="source serif 4" w:cs="source serif 4" w:ascii="source serif 4" w:hAnsi="source serif 4"/>
          <w:color w:val="000000"/>
          <w:sz w:val="21"/>
        </w:rPr>
        <w:t xml:space="preserve">Merkle checkpoint anti-entropy on reconnection.</w:t>
      </w:r>
    </w:p>
    <w:p>
      <w:pPr>
        <w:numPr>
          <w:ilvl w:val="0"/>
          <w:numId w:val="8"/>
        </w:numPr>
        <w:spacing w:line="360" w:before="105" w:after="105" w:lineRule="auto"/>
      </w:pPr>
      <w:r>
        <w:rPr>
          <w:rFonts w:eastAsia="source serif 4" w:cs="source serif 4" w:ascii="source serif 4" w:hAnsi="source serif 4"/>
          <w:b/>
          <w:color w:val="000000"/>
          <w:sz w:val="21"/>
        </w:rPr>
        <w:t xml:space="preserve">No proof-of-work</w:t>
      </w:r>
      <w:r>
        <w:rPr>
          <w:rFonts w:eastAsia="source serif 4" w:cs="source serif 4" w:ascii="source serif 4" w:hAnsi="source serif 4"/>
          <w:color w:val="000000"/>
          <w:sz w:val="21"/>
        </w:rPr>
        <w:t xml:space="preserve"> — permissioned quorum/notary + optional public timestamp anchor (this is a distinction we make explicit if asked about the Bitcoin-derived structure).</w:t>
      </w:r>
    </w:p>
    <w:p>
      <w:pPr>
        <w:spacing w:line="360" w:before="315" w:after="105" w:lineRule="auto"/>
        <w:ind w:left="-30"/>
        <w:jc w:val="left"/>
      </w:pPr>
      <w:bookmarkStart w:id="13" w:name="bm_5_3_replay_bundle_dual_encrypt_26d0ee"/>
      <w:r>
        <w:rPr>
          <w:rFonts w:eastAsia="source serif 4" w:cs="source serif 4" w:ascii="source serif 4" w:hAnsi="source serif 4"/>
          <w:b/>
          <w:color w:val="000000"/>
          <w:sz w:val="24"/>
        </w:rPr>
        <w:t xml:space="preserve">5.3 Replay bundle (dual encrypted USB, 20-50 GB)</w:t>
      </w:r>
      <w:bookmarkEnd w:id="13"/>
    </w:p>
    <w:p>
      <w:pPr>
        <w:numPr>
          <w:ilvl w:val="0"/>
          <w:numId w:val="9"/>
        </w:numPr>
        <w:spacing w:line="360" w:before="105" w:after="105" w:lineRule="auto"/>
      </w:pPr>
      <w:r>
        <w:rPr>
          <w:rFonts w:eastAsia="source serif 4" w:cs="source serif 4" w:ascii="source serif 4" w:hAnsi="source serif 4"/>
          <w:color w:val="000000"/>
          <w:sz w:val="21"/>
        </w:rPr>
        <w:t xml:space="preserve">90 s ITDX context cut + 6 min technical field-proof film.</w:t>
      </w:r>
    </w:p>
    <w:p>
      <w:pPr>
        <w:numPr>
          <w:ilvl w:val="0"/>
          <w:numId w:val="9"/>
        </w:numPr>
        <w:spacing w:line="360" w:before="105" w:after="105" w:lineRule="auto"/>
      </w:pPr>
      <w:r>
        <w:rPr>
          <w:rFonts w:eastAsia="source serif 4" w:cs="source serif 4" w:ascii="source serif 4" w:hAnsi="source serif 4"/>
          <w:color w:val="000000"/>
          <w:sz w:val="21"/>
        </w:rPr>
        <w:t xml:space="preserve">Scenario YAML, policies, device manifests.</w:t>
      </w:r>
    </w:p>
    <w:p>
      <w:pPr>
        <w:numPr>
          <w:ilvl w:val="0"/>
          <w:numId w:val="9"/>
        </w:numPr>
        <w:spacing w:line="360" w:before="105" w:after="105" w:lineRule="auto"/>
      </w:pPr>
      <w:r>
        <w:rPr>
          <w:rFonts w:eastAsia="source serif 4" w:cs="source serif 4" w:ascii="source serif 4" w:hAnsi="source serif 4"/>
          <w:color w:val="000000"/>
          <w:sz w:val="21"/>
        </w:rPr>
        <w:t xml:space="preserve">Rooted observation JSONL (canonical schema </w:t>
      </w:r>
      <w:r>
        <w:rPr>
          <w:rStyle w:val="VerbatimChar"/>
          <w:rFonts w:eastAsia="menlo" w:cs="menlo" w:ascii="menlo" w:hAnsi="menlo"/>
          <w:color w:val="000000"/>
          <w:sz w:val="18"/>
          <w:shd w:val="clear" w:color="auto" w:fill="F8F8FA"/>
        </w:rPr>
        <w:t xml:space="preserve">rooted_observation_v1</w:t>
      </w:r>
      <w:r>
        <w:rPr>
          <w:rFonts w:eastAsia="source serif 4" w:cs="source serif 4" w:ascii="source serif 4" w:hAnsi="source serif 4"/>
          <w:color w:val="000000"/>
          <w:sz w:val="21"/>
        </w:rPr>
        <w:t xml:space="preserve">).</w:t>
      </w:r>
    </w:p>
    <w:p>
      <w:pPr>
        <w:numPr>
          <w:ilvl w:val="0"/>
          <w:numId w:val="9"/>
        </w:numPr>
        <w:spacing w:line="360" w:before="105" w:after="105" w:lineRule="auto"/>
      </w:pPr>
      <w:r>
        <w:rPr>
          <w:rFonts w:eastAsia="source serif 4" w:cs="source serif 4" w:ascii="source serif 4" w:hAnsi="source serif 4"/>
          <w:color w:val="000000"/>
          <w:sz w:val="21"/>
        </w:rPr>
        <w:t xml:space="preserve">Raw selected FCI, hydrophone, imagery, GNSS, network assets by content hash.</w:t>
      </w:r>
    </w:p>
    <w:p>
      <w:pPr>
        <w:numPr>
          <w:ilvl w:val="0"/>
          <w:numId w:val="9"/>
        </w:numPr>
        <w:spacing w:line="360" w:before="105" w:after="105" w:lineRule="auto"/>
      </w:pPr>
      <w:r>
        <w:rPr>
          <w:rFonts w:eastAsia="source serif 4" w:cs="source serif 4" w:ascii="source serif 4" w:hAnsi="source serif 4"/>
          <w:color w:val="000000"/>
          <w:sz w:val="21"/>
        </w:rPr>
        <w:t xml:space="preserve">Frozen NLM / FUSARIUM / MYCA containers or local environments.</w:t>
      </w:r>
    </w:p>
    <w:p>
      <w:pPr>
        <w:numPr>
          <w:ilvl w:val="0"/>
          <w:numId w:val="9"/>
        </w:numPr>
        <w:spacing w:line="360" w:before="105" w:after="105" w:lineRule="auto"/>
      </w:pPr>
      <w:r>
        <w:rPr>
          <w:rFonts w:eastAsia="source serif 4" w:cs="source serif 4" w:ascii="source serif 4" w:hAnsi="source serif 4"/>
          <w:color w:val="000000"/>
          <w:sz w:val="21"/>
        </w:rPr>
        <w:t xml:space="preserve">11 NLM-Bench dataset shards + licenses.</w:t>
      </w:r>
    </w:p>
    <w:p>
      <w:pPr>
        <w:numPr>
          <w:ilvl w:val="0"/>
          <w:numId w:val="9"/>
        </w:numPr>
        <w:spacing w:line="360" w:before="105" w:after="105" w:lineRule="auto"/>
      </w:pPr>
      <w:r>
        <w:rPr>
          <w:rFonts w:eastAsia="source serif 4" w:cs="source serif 4" w:ascii="source serif 4" w:hAnsi="source serif 4"/>
          <w:color w:val="000000"/>
          <w:sz w:val="21"/>
        </w:rPr>
        <w:t xml:space="preserve">Evaluation harness + run reports.</w:t>
      </w:r>
    </w:p>
    <w:p>
      <w:pPr>
        <w:numPr>
          <w:ilvl w:val="0"/>
          <w:numId w:val="9"/>
        </w:numPr>
        <w:spacing w:line="360" w:before="105" w:after="105" w:lineRule="auto"/>
      </w:pPr>
      <w:r>
        <w:rPr>
          <w:rFonts w:eastAsia="source serif 4" w:cs="source serif 4" w:ascii="source serif 4" w:hAnsi="source serif 4"/>
          <w:color w:val="000000"/>
          <w:sz w:val="21"/>
        </w:rPr>
        <w:t xml:space="preserve">Slide deck + PDF backup.</w:t>
      </w:r>
    </w:p>
    <w:p>
      <w:pPr>
        <w:numPr>
          <w:ilvl w:val="0"/>
          <w:numId w:val="9"/>
        </w:numPr>
        <w:spacing w:line="360" w:before="105" w:after="105" w:lineRule="auto"/>
      </w:pPr>
      <w:r>
        <w:rPr>
          <w:rFonts w:eastAsia="source serif 4" w:cs="source serif 4" w:ascii="source serif 4" w:hAnsi="source serif 4"/>
          <w:color w:val="000000"/>
          <w:sz w:val="21"/>
        </w:rPr>
        <w:t xml:space="preserve">Printed one-page architecture + metrics sheets.</w:t>
      </w:r>
    </w:p>
    <w:p>
      <w:pPr>
        <w:numPr>
          <w:ilvl w:val="0"/>
          <w:numId w:val="9"/>
        </w:numPr>
        <w:spacing w:line="360" w:before="105" w:after="105" w:lineRule="auto"/>
      </w:pPr>
      <w:r>
        <w:rPr>
          <w:rFonts w:eastAsia="source serif 4" w:cs="source serif 4" w:ascii="source serif 4" w:hAnsi="source serif 4"/>
          <w:color w:val="000000"/>
          <w:sz w:val="21"/>
        </w:rPr>
        <w:t xml:space="preserve">Known-limitations sheet.</w:t>
      </w:r>
    </w:p>
    <w:p>
      <w:pPr>
        <w:numPr>
          <w:ilvl w:val="0"/>
          <w:numId w:val="9"/>
        </w:numPr>
        <w:spacing w:line="360" w:before="105" w:after="105" w:lineRule="auto"/>
      </w:pPr>
      <w:r>
        <w:rPr>
          <w:rFonts w:eastAsia="source serif 4" w:cs="source serif 4" w:ascii="source serif 4" w:hAnsi="source serif 4"/>
          <w:color w:val="000000"/>
          <w:sz w:val="21"/>
        </w:rPr>
        <w:t xml:space="preserve">Clean-machine verification instructions.</w:t>
      </w:r>
    </w:p>
    <w:p>
      <w:pPr>
        <w:spacing w:line="360" w:before="315" w:after="105" w:lineRule="auto"/>
        <w:ind w:left="-30"/>
        <w:jc w:val="left"/>
      </w:pPr>
      <w:bookmarkStart w:id="14" w:name="bm_5_4_six_revised_algorithm_design_pdfs"/>
      <w:r>
        <w:rPr>
          <w:rFonts w:eastAsia="source serif 4" w:cs="source serif 4" w:ascii="source serif 4" w:hAnsi="source serif 4"/>
          <w:b/>
          <w:color w:val="000000"/>
          <w:sz w:val="24"/>
        </w:rPr>
        <w:t xml:space="preserve">5.4 Six revised algorithm-design PDFs</w:t>
      </w:r>
      <w:bookmarkEnd w:id="14"/>
    </w:p>
    <w:p>
      <w:pPr>
        <w:numPr>
          <w:ilvl w:val="0"/>
          <w:numId w:val="10"/>
        </w:numPr>
        <w:spacing w:line="360" w:before="105" w:after="105" w:lineRule="auto"/>
      </w:pPr>
      <w:r>
        <w:rPr>
          <w:rFonts w:eastAsia="source serif 4" w:cs="source serif 4" w:ascii="source serif 4" w:hAnsi="source serif 4"/>
          <w:color w:val="000000"/>
          <w:sz w:val="21"/>
        </w:rPr>
        <w:t xml:space="preserve">Task 12 (Pattern) — revise for FormSpace framing (see §3).</w:t>
      </w:r>
    </w:p>
    <w:p>
      <w:pPr>
        <w:numPr>
          <w:ilvl w:val="0"/>
          <w:numId w:val="10"/>
        </w:numPr>
        <w:spacing w:line="360" w:before="105" w:after="105" w:lineRule="auto"/>
      </w:pPr>
      <w:r>
        <w:rPr>
          <w:rFonts w:eastAsia="source serif 4" w:cs="source serif 4" w:ascii="source serif 4" w:hAnsi="source serif 4"/>
          <w:color w:val="000000"/>
          <w:sz w:val="21"/>
        </w:rPr>
        <w:t xml:space="preserve">Task 13 (Link) — revise for FormSpace framing.</w:t>
      </w:r>
    </w:p>
    <w:p>
      <w:pPr>
        <w:numPr>
          <w:ilvl w:val="0"/>
          <w:numId w:val="10"/>
        </w:numPr>
        <w:spacing w:line="360" w:before="105" w:after="105" w:lineRule="auto"/>
      </w:pPr>
      <w:r>
        <w:rPr>
          <w:rFonts w:eastAsia="source serif 4" w:cs="source serif 4" w:ascii="source serif 4" w:hAnsi="source serif 4"/>
          <w:color w:val="000000"/>
          <w:sz w:val="21"/>
        </w:rPr>
        <w:t xml:space="preserve">Task 8 (MYCA COAs) — add admissibility-gate subsection.</w:t>
      </w:r>
    </w:p>
    <w:p>
      <w:pPr>
        <w:numPr>
          <w:ilvl w:val="0"/>
          <w:numId w:val="10"/>
        </w:numPr>
        <w:spacing w:line="360" w:before="105" w:after="105" w:lineRule="auto"/>
      </w:pPr>
      <w:r>
        <w:rPr>
          <w:rFonts w:eastAsia="source serif 4" w:cs="source serif 4" w:ascii="source serif 4" w:hAnsi="source serif 4"/>
          <w:color w:val="000000"/>
          <w:sz w:val="21"/>
        </w:rPr>
        <w:t xml:space="preserve">Task 14 (Map) — new short PDF, ~4 pages.</w:t>
      </w:r>
    </w:p>
    <w:p>
      <w:pPr>
        <w:numPr>
          <w:ilvl w:val="0"/>
          <w:numId w:val="10"/>
        </w:numPr>
        <w:spacing w:line="360" w:before="105" w:after="105" w:lineRule="auto"/>
      </w:pPr>
      <w:r>
        <w:rPr>
          <w:rFonts w:eastAsia="source serif 4" w:cs="source serif 4" w:ascii="source serif 4" w:hAnsi="source serif 4"/>
          <w:color w:val="000000"/>
          <w:sz w:val="21"/>
        </w:rPr>
        <w:t xml:space="preserve">Evaluation Harness — add one figure showing tasks as operations on Form Space.</w:t>
      </w:r>
    </w:p>
    <w:p>
      <w:pPr>
        <w:numPr>
          <w:ilvl w:val="0"/>
          <w:numId w:val="10"/>
        </w:numPr>
        <w:spacing w:line="360" w:before="105" w:after="105" w:lineRule="auto"/>
      </w:pPr>
      <w:r>
        <w:rPr>
          <w:rFonts w:eastAsia="source serif 4" w:cs="source serif 4" w:ascii="source serif 4" w:hAnsi="source serif 4"/>
          <w:color w:val="000000"/>
          <w:sz w:val="21"/>
        </w:rPr>
        <w:t xml:space="preserve">MYCA Orchestration Architecture — add one paragraph on the admissibility gate </w:t>
      </w:r>
      <w:r>
        <w:rPr>
          <w:rStyle w:val="VerbatimChar"/>
          <w:rFonts w:eastAsia="menlo" w:cs="menlo" w:ascii="menlo" w:hAnsi="menlo"/>
          <w:color w:val="000000"/>
          <w:sz w:val="18"/>
          <w:shd w:val="clear" w:color="auto" w:fill="F8F8FA"/>
        </w:rPr>
        <w:t xml:space="preserve">G</w:t>
      </w:r>
      <w:r>
        <w:rPr>
          <w:rFonts w:eastAsia="source serif 4" w:cs="source serif 4" w:ascii="source serif 4" w:hAnsi="source serif 4"/>
          <w:color w:val="000000"/>
          <w:sz w:val="21"/>
        </w:rPr>
        <w:t xml:space="preserve">.</w:t>
      </w:r>
    </w:p>
    <w:p>
      <w:pPr>
        <w:numPr>
          <w:ilvl w:val="0"/>
          <w:numId w:val="10"/>
        </w:numPr>
        <w:spacing w:line="360" w:before="105" w:after="105" w:lineRule="auto"/>
      </w:pPr>
      <w:r>
        <w:rPr>
          <w:rFonts w:eastAsia="source serif 4" w:cs="source serif 4" w:ascii="source serif 4" w:hAnsi="source serif 4"/>
          <w:color w:val="000000"/>
          <w:sz w:val="21"/>
        </w:rPr>
        <w:t xml:space="preserve">Task Selection Memo — one paragraph explaining why FormSpace unifies the four tasks.</w:t>
      </w:r>
    </w:p>
    <w:p>
      <w:pPr>
        <w:spacing w:line="360" w:before="315" w:after="105" w:lineRule="auto"/>
        <w:ind w:left="-30"/>
        <w:jc w:val="left"/>
      </w:pPr>
      <w:bookmarkStart w:id="15" w:name="bm_5_5_deck_18_slides_from_canonical_9"/>
      <w:r>
        <w:rPr>
          <w:rFonts w:eastAsia="source serif 4" w:cs="source serif 4" w:ascii="source serif 4" w:hAnsi="source serif 4"/>
          <w:b/>
          <w:color w:val="000000"/>
          <w:sz w:val="24"/>
        </w:rPr>
        <w:t xml:space="preserve">5.5 Deck (18 slides, from canonical §9)</w:t>
      </w:r>
      <w:bookmarkEnd w:id="15"/>
    </w:p>
    <w:p>
      <w:pPr>
        <w:spacing w:line="360" w:after="210" w:lineRule="auto"/>
      </w:pPr>
      <w:r>
        <w:rPr>
          <w:rFonts w:eastAsia="source serif 4" w:cs="source serif 4" w:ascii="source serif 4" w:hAnsi="source serif 4"/>
          <w:color w:val="000000"/>
        </w:rPr>
        <w:t xml:space="preserve">Existing 18-slide sequence stands. Retitle slides 8, 9, 10, 13 as in the table above.</w:t>
      </w:r>
    </w:p>
    <w:p>
      <w:pPr>
        <w:spacing w:line="360" w:before="315" w:after="105" w:lineRule="auto"/>
        <w:ind w:left="-30"/>
        <w:jc w:val="left"/>
      </w:pPr>
      <w:bookmarkStart w:id="16" w:name="bm_5_6_one_page_printed_handouts"/>
      <w:r>
        <w:rPr>
          <w:rFonts w:eastAsia="source serif 4" w:cs="source serif 4" w:ascii="source serif 4" w:hAnsi="source serif 4"/>
          <w:b/>
          <w:color w:val="000000"/>
          <w:sz w:val="24"/>
        </w:rPr>
        <w:t xml:space="preserve">5.6 One-page printed handouts</w:t>
      </w:r>
      <w:bookmarkEnd w:id="16"/>
    </w:p>
    <w:p>
      <w:pPr>
        <w:numPr>
          <w:ilvl w:val="0"/>
          <w:numId w:val="11"/>
        </w:numPr>
        <w:spacing w:line="360" w:before="105" w:after="105" w:lineRule="auto"/>
      </w:pPr>
      <w:r>
        <w:rPr>
          <w:rFonts w:eastAsia="source serif 4" w:cs="source serif 4" w:ascii="source serif 4" w:hAnsi="source serif 4"/>
          <w:color w:val="000000"/>
          <w:sz w:val="21"/>
        </w:rPr>
        <w:t xml:space="preserve">Architecture one-pager (already planned).</w:t>
      </w:r>
    </w:p>
    <w:p>
      <w:pPr>
        <w:numPr>
          <w:ilvl w:val="0"/>
          <w:numId w:val="11"/>
        </w:numPr>
        <w:spacing w:line="360" w:before="105" w:after="105" w:lineRule="auto"/>
      </w:pPr>
      <w:r>
        <w:rPr>
          <w:rFonts w:eastAsia="source serif 4" w:cs="source serif 4" w:ascii="source serif 4" w:hAnsi="source serif 4"/>
          <w:color w:val="000000"/>
          <w:sz w:val="21"/>
        </w:rPr>
        <w:t xml:space="preserve">Metrics one-pager (already planned).</w:t>
      </w:r>
    </w:p>
    <w:p>
      <w:pPr>
        <w:numPr>
          <w:ilvl w:val="0"/>
          <w:numId w:val="11"/>
        </w:numPr>
        <w:spacing w:line="360" w:before="105" w:after="105" w:lineRule="auto"/>
      </w:pPr>
      <w:r>
        <w:rPr>
          <w:rFonts w:eastAsia="source serif 4" w:cs="source serif 4" w:ascii="source serif 4" w:hAnsi="source serif 4"/>
          <w:b/>
          <w:color w:val="000000"/>
          <w:sz w:val="21"/>
        </w:rPr>
        <w:t xml:space="preserve">FormSpace one-pager</w:t>
      </w:r>
      <w:r>
        <w:rPr>
          <w:rFonts w:eastAsia="source serif 4" w:cs="source serif 4" w:ascii="source serif 4" w:hAnsi="source serif 4"/>
          <w:color w:val="000000"/>
          <w:sz w:val="21"/>
        </w:rPr>
        <w:t xml:space="preserve"> (new) — the four definitions D1-D4 above with the master equation </w:t>
      </w:r>
      <w:r>
        <w:rPr>
          <w:rStyle w:val="VerbatimChar"/>
          <w:rFonts w:eastAsia="menlo" w:cs="menlo" w:ascii="menlo" w:hAnsi="menlo"/>
          <w:color w:val="000000"/>
          <w:sz w:val="18"/>
          <w:shd w:val="clear" w:color="auto" w:fill="F8F8FA"/>
        </w:rPr>
        <w:t xml:space="preserve">x₁ ~Λ x₂ ⟺ Λ(x₁) ≈ Λ(x₂); F_Λ = X/~Λ</w:t>
      </w:r>
      <w:r>
        <w:rPr>
          <w:rFonts w:eastAsia="source serif 4" w:cs="source serif 4" w:ascii="source serif 4" w:hAnsi="source serif 4"/>
          <w:color w:val="000000"/>
          <w:sz w:val="21"/>
        </w:rPr>
        <w:t xml:space="preserve">.</w:t>
      </w:r>
    </w:p>
    <w:p>
      <w:pPr>
        <w:numPr>
          <w:ilvl w:val="0"/>
          <w:numId w:val="11"/>
        </w:numPr>
        <w:spacing w:line="360" w:before="105" w:after="105" w:lineRule="auto"/>
      </w:pPr>
      <w:r>
        <w:rPr>
          <w:rFonts w:eastAsia="source serif 4" w:cs="source serif 4" w:ascii="source serif 4" w:hAnsi="source serif 4"/>
          <w:color w:val="000000"/>
          <w:sz w:val="21"/>
        </w:rPr>
        <w:t xml:space="preserve">Known-limitations one-pager (already planned) — do not soften the six honest limits from canonical §11.</w:t>
      </w:r>
    </w:p>
    <w:p>
      <w:pPr>
        <w:spacing w:line="360" w:after="210" w:lineRule="auto"/>
      </w:pPr>
      <w:r>
        <w:rPr>
          <w:rFonts w:eastAsia="source serif 4" w:cs="source serif 4" w:ascii="source serif 4" w:hAnsi="source serif 4"/>
          <w:b/>
          <w:color w:val="000000"/>
        </w:rPr>
        <w:t xml:space="preserve">Build ownership:</w:t>
      </w:r>
      <w:r>
        <w:rPr>
          <w:rFonts w:eastAsia="source serif 4" w:cs="source serif 4" w:ascii="source serif 4" w:hAnsi="source serif 4"/>
          <w:color w:val="000000"/>
        </w:rPr>
        <w:t xml:space="preserve"> Morgan writes the FormSpace one-pager and the PDF §1-§2 rewrites; Engineer #2 (TBD) closes the harness, DIRTNet emulator, and replay bundle. If Engineer #2 is not confirmed by 2026-09-03 EOD, Morgan must build a fallback replay bundle by 2026-09-05 EOD with the deterministic lane only (learned lane runs prerecorded).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 w:name="bm_6_what_we_bring_on_the_plane"/>
      <w:r>
        <w:rPr>
          <w:rFonts w:eastAsia="source serif 4" w:cs="source serif 4" w:ascii="source serif 4" w:hAnsi="source serif 4"/>
          <w:b/>
          <w:color w:val="000000"/>
          <w:sz w:val="24"/>
        </w:rPr>
        <w:t xml:space="preserve">6. What we bring on the plane</w:t>
      </w:r>
      <w:bookmarkEnd w:id="17"/>
    </w:p>
    <w:p>
      <w:pPr>
        <w:spacing w:line="360" w:after="210" w:lineRule="auto"/>
      </w:pPr>
      <w:r>
        <w:rPr>
          <w:rFonts w:eastAsia="source serif 4" w:cs="source serif 4" w:ascii="source serif 4" w:hAnsi="source serif 4"/>
          <w:b/>
          <w:color w:val="000000"/>
        </w:rPr>
        <w:t xml:space="preserve">Two identical, redundant sets. Full offline capability. No live external service required in the room.</w:t>
      </w:r>
    </w:p>
    <w:p>
      <w:pPr>
        <w:numPr>
          <w:ilvl w:val="0"/>
          <w:numId w:val="12"/>
        </w:numPr>
        <w:spacing w:line="360" w:before="105" w:after="105" w:lineRule="auto"/>
      </w:pPr>
      <w:r>
        <w:rPr>
          <w:rFonts w:eastAsia="source serif 4" w:cs="source serif 4" w:ascii="source serif 4" w:hAnsi="source serif 4"/>
          <w:color w:val="000000"/>
          <w:sz w:val="21"/>
        </w:rPr>
        <w:t xml:space="preserve">2× ITDX-ready laptops: CUDA (16 GB VRAM) and Apple (64 GB unified). Both cold-tested ≤ 30 s.</w:t>
      </w:r>
    </w:p>
    <w:p>
      <w:pPr>
        <w:numPr>
          <w:ilvl w:val="0"/>
          <w:numId w:val="12"/>
        </w:numPr>
        <w:spacing w:line="360" w:before="105" w:after="105" w:lineRule="auto"/>
      </w:pPr>
      <w:r>
        <w:rPr>
          <w:rFonts w:eastAsia="source serif 4" w:cs="source serif 4" w:ascii="source serif 4" w:hAnsi="source serif 4"/>
          <w:color w:val="000000"/>
          <w:sz w:val="21"/>
        </w:rPr>
        <w:t xml:space="preserve">2× encrypted USB drives (256 GB each), byte-identical replay bundles, SHA-256 verified.</w:t>
      </w:r>
    </w:p>
    <w:p>
      <w:pPr>
        <w:numPr>
          <w:ilvl w:val="0"/>
          <w:numId w:val="12"/>
        </w:numPr>
        <w:spacing w:line="360" w:before="105" w:after="105" w:lineRule="auto"/>
      </w:pPr>
      <w:r>
        <w:rPr>
          <w:rFonts w:eastAsia="source serif 4" w:cs="source serif 4" w:ascii="source serif 4" w:hAnsi="source serif 4"/>
          <w:color w:val="000000"/>
          <w:sz w:val="21"/>
        </w:rPr>
        <w:t xml:space="preserve">Projector adapters (HDMI + USB-C + spare DisplayPort).</w:t>
      </w:r>
    </w:p>
    <w:p>
      <w:pPr>
        <w:numPr>
          <w:ilvl w:val="0"/>
          <w:numId w:val="12"/>
        </w:numPr>
        <w:spacing w:line="360" w:before="105" w:after="105" w:lineRule="auto"/>
      </w:pPr>
      <w:r>
        <w:rPr>
          <w:rFonts w:eastAsia="source serif 4" w:cs="source serif 4" w:ascii="source serif 4" w:hAnsi="source serif 4"/>
          <w:color w:val="000000"/>
          <w:sz w:val="21"/>
        </w:rPr>
        <w:t xml:space="preserve">2× printed decks (18 slides each).</w:t>
      </w:r>
    </w:p>
    <w:p>
      <w:pPr>
        <w:numPr>
          <w:ilvl w:val="0"/>
          <w:numId w:val="12"/>
        </w:numPr>
        <w:spacing w:line="360" w:before="105" w:after="105" w:lineRule="auto"/>
      </w:pPr>
      <w:r>
        <w:rPr>
          <w:rFonts w:eastAsia="source serif 4" w:cs="source serif 4" w:ascii="source serif 4" w:hAnsi="source serif 4"/>
          <w:color w:val="000000"/>
          <w:sz w:val="21"/>
        </w:rPr>
        <w:t xml:space="preserve">2× printed one-pagers: architecture, metrics, FormSpace definitions, known limitations.</w:t>
      </w:r>
    </w:p>
    <w:p>
      <w:pPr>
        <w:numPr>
          <w:ilvl w:val="0"/>
          <w:numId w:val="12"/>
        </w:numPr>
        <w:spacing w:line="360" w:before="105" w:after="105" w:lineRule="auto"/>
      </w:pPr>
      <w:r>
        <w:rPr>
          <w:rFonts w:eastAsia="source serif 4" w:cs="source serif 4" w:ascii="source serif 4" w:hAnsi="source serif 4"/>
          <w:color w:val="000000"/>
          <w:sz w:val="21"/>
        </w:rPr>
        <w:t xml:space="preserve">1× printed ITDX26 Mathematical Demonstration Plan </w:t>
      </w:r>
      <w:r>
        <w:rPr>
          <w:rFonts w:eastAsia="source serif 4" w:cs="source serif 4" w:ascii="source serif 4" w:hAnsi="source serif 4"/>
          <w:b/>
          <w:color w:val="000000"/>
          <w:sz w:val="21"/>
        </w:rPr>
        <w:t xml:space="preserve">concise version</w:t>
      </w:r>
      <w:r>
        <w:rPr>
          <w:rFonts w:eastAsia="source serif 4" w:cs="source serif 4" w:ascii="source serif 4" w:hAnsi="source serif 4"/>
          <w:color w:val="000000"/>
          <w:sz w:val="21"/>
        </w:rPr>
        <w:t xml:space="preserve"> (30 KB / ~40 pages, already in </w:t>
      </w:r>
      <w:r>
        <w:rPr>
          <w:rStyle w:val="VerbatimChar"/>
          <w:rFonts w:eastAsia="menlo" w:cs="menlo" w:ascii="menlo" w:hAnsi="menlo"/>
          <w:color w:val="000000"/>
          <w:sz w:val="18"/>
          <w:shd w:val="clear" w:color="auto" w:fill="F8F8FA"/>
        </w:rPr>
        <w:t xml:space="preserve">drive_pull/</w:t>
      </w:r>
      <w:r>
        <w:rPr>
          <w:rFonts w:eastAsia="source serif 4" w:cs="source serif 4" w:ascii="source serif 4" w:hAnsi="source serif 4"/>
          <w:color w:val="000000"/>
          <w:sz w:val="21"/>
        </w:rPr>
        <w:t xml:space="preserve">).</w:t>
      </w:r>
    </w:p>
    <w:p>
      <w:pPr>
        <w:numPr>
          <w:ilvl w:val="0"/>
          <w:numId w:val="12"/>
        </w:numPr>
        <w:spacing w:line="360" w:before="105" w:after="105" w:lineRule="auto"/>
      </w:pPr>
      <w:r>
        <w:rPr>
          <w:rFonts w:eastAsia="source serif 4" w:cs="source serif 4" w:ascii="source serif 4" w:hAnsi="source serif 4"/>
          <w:color w:val="000000"/>
          <w:sz w:val="21"/>
        </w:rPr>
        <w:t xml:space="preserve">1× printed FormSpace 5-minute narrative script.</w:t>
      </w:r>
    </w:p>
    <w:p>
      <w:pPr>
        <w:numPr>
          <w:ilvl w:val="0"/>
          <w:numId w:val="12"/>
        </w:numPr>
        <w:spacing w:line="360" w:before="105" w:after="105" w:lineRule="auto"/>
      </w:pPr>
      <w:r>
        <w:rPr>
          <w:rFonts w:eastAsia="source serif 4" w:cs="source serif 4" w:ascii="source serif 4" w:hAnsi="source serif 4"/>
          <w:color w:val="000000"/>
          <w:sz w:val="21"/>
        </w:rPr>
        <w:t xml:space="preserve">1× printed "likely questions and direct answers" sheet from canonical §11.</w:t>
      </w:r>
    </w:p>
    <w:p>
      <w:pPr>
        <w:numPr>
          <w:ilvl w:val="0"/>
          <w:numId w:val="12"/>
        </w:numPr>
        <w:spacing w:line="360" w:before="105" w:after="105" w:lineRule="auto"/>
      </w:pPr>
      <w:r>
        <w:rPr>
          <w:rFonts w:eastAsia="source serif 4" w:cs="source serif 4" w:ascii="source serif 4" w:hAnsi="source serif 4"/>
          <w:color w:val="000000"/>
          <w:sz w:val="21"/>
        </w:rPr>
        <w:t xml:space="preserve">Stopwatch and metrics logger (analog + phone).</w:t>
      </w:r>
    </w:p>
    <w:p>
      <w:pPr>
        <w:numPr>
          <w:ilvl w:val="0"/>
          <w:numId w:val="12"/>
        </w:numPr>
        <w:spacing w:line="360" w:before="105" w:after="105" w:lineRule="auto"/>
      </w:pPr>
      <w:r>
        <w:rPr>
          <w:rFonts w:eastAsia="source serif 4" w:cs="source serif 4" w:ascii="source serif 4" w:hAnsi="source serif 4"/>
          <w:color w:val="000000"/>
          <w:sz w:val="21"/>
        </w:rPr>
        <w:t xml:space="preserve">Ethernet cable + USB hub (do not assume room Wi-Fi).</w:t>
      </w:r>
    </w:p>
    <w:p>
      <w:pPr>
        <w:numPr>
          <w:ilvl w:val="0"/>
          <w:numId w:val="12"/>
        </w:numPr>
        <w:spacing w:line="360" w:before="105" w:after="105" w:lineRule="auto"/>
      </w:pPr>
      <w:r>
        <w:rPr>
          <w:rFonts w:eastAsia="source serif 4" w:cs="source serif 4" w:ascii="source serif 4" w:hAnsi="source serif 4"/>
          <w:color w:val="000000"/>
          <w:sz w:val="21"/>
        </w:rPr>
        <w:t xml:space="preserve">Power strip + two chargers per laptop.</w:t>
      </w:r>
    </w:p>
    <w:p>
      <w:pPr>
        <w:numPr>
          <w:ilvl w:val="0"/>
          <w:numId w:val="12"/>
        </w:numPr>
        <w:spacing w:line="360" w:before="105" w:after="105" w:lineRule="auto"/>
      </w:pPr>
      <w:r>
        <w:rPr>
          <w:rFonts w:eastAsia="source serif 4" w:cs="source serif 4" w:ascii="source serif 4" w:hAnsi="source serif 4"/>
          <w:color w:val="000000"/>
          <w:sz w:val="21"/>
        </w:rPr>
        <w:t xml:space="preserve">No internal IPs, private keys, private coordinates, or any customer data on either drive.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 w:name="bm_7_kept_prep_pdfs_which_need_what_edit"/>
      <w:r>
        <w:rPr>
          <w:rFonts w:eastAsia="source serif 4" w:cs="source serif 4" w:ascii="source serif 4" w:hAnsi="source serif 4"/>
          <w:b/>
          <w:color w:val="000000"/>
          <w:sz w:val="24"/>
        </w:rPr>
        <w:t xml:space="preserve">7. Kept-prep PDFs — which need what edit</w:t>
      </w:r>
      <w:bookmarkEnd w:id="1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PDF</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Edit type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Owner</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ITDX26_Task_Selection_Memo_Mycosoft_2026-09-01.pdf</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Add one paragraph on FormSpace unification of tasks 12/13/8/14</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Morgan</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ITDX26_Algorithm_Design_Task12_NLM_Pattern_Mycosoft_2026-09-01.pdf</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Rewrite §1-§2 for FormSpace framing; preserve implementation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Morgan</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ITDX26_Algorithm_Design_Task13_FUSARIUM_Link_Mycosoft_2026-09-01.pdf</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Rewrite §1-§2 for hypergraph-on-Form-classes framing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Morgan</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ITDX26_Algorithm_Design_Task8_MYCA_Mycosoft_2026-09-01.pdf</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Add admissibility-gate subsection with </w:t>
            </w:r>
            <w:r>
              <w:rPr>
                <w:rStyle w:val="VerbatimChar"/>
                <w:rFonts w:eastAsia="menlo" w:cs="menlo" w:ascii="menlo" w:hAnsi="menlo"/>
                <w:color w:val="000000"/>
                <w:sz w:val="18"/>
                <w:shd w:val="clear" w:color="auto" w:fill="F8F8FA"/>
              </w:rPr>
              <w:t xml:space="preserve">G(E,φ,ν,A,R)</w:t>
            </w:r>
            <w:r>
              <w:rPr>
                <w:rFonts w:eastAsia="source sans 3" w:cs="source sans 3" w:ascii="source sans 3" w:hAnsi="source sans 3"/>
                <w:color w:val="000000"/>
                <w:sz w:val="17"/>
              </w:rPr>
              <w:t xml:space="preserve"> math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Morgan</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ITDX26_Evaluation_Harness_Mycosoft_2026-09-01.pdf</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Add one figure: tasks as operations on Form Space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Morgan</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ITDX26_MYCA_Orchestration_Architecture_Mycosoft_2026-09-01.pdf</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Add one paragraph on the admissibility gate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Morgan</w:t>
            </w:r>
          </w:p>
        </w:tc>
      </w:tr>
    </w:tbl>
    <w:p>
      <w:pPr>
        <w:spacing w:lineRule="auto"/>
      </w:pPr>
    </w:p>
    <w:p>
      <w:pPr>
        <w:spacing w:line="360" w:after="210" w:lineRule="auto"/>
      </w:pPr>
      <w:r>
        <w:rPr>
          <w:rFonts w:eastAsia="source serif 4" w:cs="source serif 4" w:ascii="source serif 4" w:hAnsi="source serif 4"/>
          <w:b/>
          <w:color w:val="000000"/>
        </w:rPr>
        <w:t xml:space="preserve">New PDF to create:</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ITDX26_Algorithm_Design_Task14_CREP_Map_Mycosoft_2026-09-03.pdf</w:t>
      </w:r>
      <w:r>
        <w:rPr>
          <w:rFonts w:eastAsia="source serif 4" w:cs="source serif 4" w:ascii="source serif 4" w:hAnsi="source serif 4"/>
          <w:color w:val="000000"/>
        </w:rPr>
        <w:t xml:space="preserve"> (~4 pages).</w:t>
      </w:r>
    </w:p>
    <w:p>
      <w:pPr>
        <w:spacing w:line="360" w:after="210" w:lineRule="auto"/>
      </w:pPr>
      <w:r>
        <w:rPr>
          <w:rFonts w:eastAsia="source serif 4" w:cs="source serif 4" w:ascii="source serif 4" w:hAnsi="source serif 4"/>
          <w:b/>
          <w:color w:val="000000"/>
        </w:rPr>
        <w:t xml:space="preserve">Do NOT recover:</w:t>
      </w:r>
      <w:r>
        <w:rPr>
          <w:rFonts w:eastAsia="source serif 4" w:cs="source serif 4" w:ascii="source serif 4" w:hAnsi="source serif 4"/>
          <w:color w:val="000000"/>
        </w:rPr>
        <w:t xml:space="preserve"> the six discarded artifacts in </w:t>
      </w:r>
      <w:r>
        <w:rPr>
          <w:rStyle w:val="VerbatimChar"/>
          <w:rFonts w:eastAsia="menlo" w:cs="menlo" w:ascii="menlo" w:hAnsi="menlo"/>
          <w:color w:val="000000"/>
          <w:sz w:val="18"/>
          <w:shd w:val="clear" w:color="auto" w:fill="F8F8FA"/>
        </w:rPr>
        <w:t xml:space="preserve">archive_discarded_2026-09-01/</w:t>
      </w:r>
      <w:r>
        <w:rPr>
          <w:rFonts w:eastAsia="source serif 4" w:cs="source serif 4" w:ascii="source serif 4" w:hAnsi="source serif 4"/>
          <w:color w:val="000000"/>
        </w:rPr>
        <w:t xml:space="preserve"> — Cover Letter, Data Sheet, Quad Chart, Combined Binder, White Paper, Datasets &amp; Provenance. Morgan explicitly discarded these earlier this session.</w:t>
      </w:r>
    </w:p>
    <w:p>
      <w:pPr>
        <w:spacing w:line="360" w:after="210" w:lineRule="auto"/>
      </w:pPr>
      <w:r>
        <w:rPr>
          <w:rFonts w:eastAsia="source serif 4" w:cs="source serif 4" w:ascii="source serif 4" w:hAnsi="source serif 4"/>
          <w:b/>
          <w:color w:val="000000"/>
        </w:rPr>
        <w:t xml:space="preserve">Do NOT re-run:</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build_all.py</w:t>
      </w:r>
      <w:r>
        <w:rPr>
          <w:rFonts w:eastAsia="source serif 4" w:cs="source serif 4" w:ascii="source serif 4" w:hAnsi="source serif 4"/>
          <w:color w:val="000000"/>
        </w:rPr>
        <w:t xml:space="preserve"> (855 lines) — the six kept PDFs already exist in </w:t>
      </w:r>
      <w:r>
        <w:rPr>
          <w:rStyle w:val="VerbatimChar"/>
          <w:rFonts w:eastAsia="menlo" w:cs="menlo" w:ascii="menlo" w:hAnsi="menlo"/>
          <w:color w:val="000000"/>
          <w:sz w:val="18"/>
          <w:shd w:val="clear" w:color="auto" w:fill="F8F8FA"/>
        </w:rPr>
        <w:t xml:space="preserve">send/</w:t>
      </w:r>
      <w:r>
        <w:rPr>
          <w:rFonts w:eastAsia="source serif 4" w:cs="source serif 4" w:ascii="source serif 4" w:hAnsi="source serif 4"/>
          <w:color w:val="000000"/>
        </w:rPr>
        <w:t xml:space="preserve">. Re-run only after §1-§2 edits are finalized.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 w:name="bm_8_on_site_schedule_sept_8_18_u_553f9e"/>
      <w:r>
        <w:rPr>
          <w:rFonts w:eastAsia="source serif 4" w:cs="source serif 4" w:ascii="source serif 4" w:hAnsi="source serif 4"/>
          <w:b/>
          <w:color w:val="000000"/>
          <w:sz w:val="24"/>
        </w:rPr>
        <w:t xml:space="preserve">8. On-site schedule (Sept 8-18) — unchanged from math plan</w:t>
      </w:r>
      <w:bookmarkEnd w:id="19"/>
    </w:p>
    <w:p>
      <w:pPr>
        <w:numPr>
          <w:ilvl w:val="0"/>
          <w:numId w:val="13"/>
        </w:numPr>
        <w:spacing w:line="360" w:before="105" w:after="105" w:lineRule="auto"/>
      </w:pPr>
      <w:r>
        <w:rPr>
          <w:rFonts w:eastAsia="source serif 4" w:cs="source serif 4" w:ascii="source serif 4" w:hAnsi="source serif 4"/>
          <w:color w:val="000000"/>
          <w:sz w:val="21"/>
        </w:rPr>
        <w:t xml:space="preserve">Day 1: orientation, offline verification, cold-start test on both machines.</w:t>
      </w:r>
    </w:p>
    <w:p>
      <w:pPr>
        <w:numPr>
          <w:ilvl w:val="0"/>
          <w:numId w:val="13"/>
        </w:numPr>
        <w:spacing w:line="360" w:before="105" w:after="105" w:lineRule="auto"/>
      </w:pPr>
      <w:r>
        <w:rPr>
          <w:rFonts w:eastAsia="source serif 4" w:cs="source serif 4" w:ascii="source serif 4" w:hAnsi="source serif 4"/>
          <w:color w:val="000000"/>
          <w:sz w:val="21"/>
        </w:rPr>
        <w:t xml:space="preserve">Day 2: </w:t>
      </w:r>
      <w:r>
        <w:rPr>
          <w:rFonts w:eastAsia="source serif 4" w:cs="source serif 4" w:ascii="source serif 4" w:hAnsi="source serif 4"/>
          <w:b/>
          <w:color w:val="000000"/>
          <w:sz w:val="21"/>
        </w:rPr>
        <w:t xml:space="preserve">Task 12 baseline + stress</w:t>
      </w:r>
      <w:r>
        <w:rPr>
          <w:rFonts w:eastAsia="source serif 4" w:cs="source serif 4" w:ascii="source serif 4" w:hAnsi="source serif 4"/>
          <w:color w:val="000000"/>
          <w:sz w:val="21"/>
        </w:rPr>
        <w:t xml:space="preserve"> (drift injection, missing modality).</w:t>
      </w:r>
    </w:p>
    <w:p>
      <w:pPr>
        <w:numPr>
          <w:ilvl w:val="0"/>
          <w:numId w:val="13"/>
        </w:numPr>
        <w:spacing w:line="360" w:before="105" w:after="105" w:lineRule="auto"/>
      </w:pPr>
      <w:r>
        <w:rPr>
          <w:rFonts w:eastAsia="source serif 4" w:cs="source serif 4" w:ascii="source serif 4" w:hAnsi="source serif 4"/>
          <w:color w:val="000000"/>
          <w:sz w:val="21"/>
        </w:rPr>
        <w:t xml:space="preserve">Day 3: </w:t>
      </w:r>
      <w:r>
        <w:rPr>
          <w:rFonts w:eastAsia="source serif 4" w:cs="source serif 4" w:ascii="source serif 4" w:hAnsi="source serif 4"/>
          <w:b/>
          <w:color w:val="000000"/>
          <w:sz w:val="21"/>
        </w:rPr>
        <w:t xml:space="preserve">Task 13 baseline</w:t>
      </w:r>
      <w:r>
        <w:rPr>
          <w:rFonts w:eastAsia="source serif 4" w:cs="source serif 4" w:ascii="source serif 4" w:hAnsi="source serif 4"/>
          <w:color w:val="000000"/>
          <w:sz w:val="21"/>
        </w:rPr>
        <w:t xml:space="preserve"> (evidence graph, deterministic association).</w:t>
      </w:r>
    </w:p>
    <w:p>
      <w:pPr>
        <w:numPr>
          <w:ilvl w:val="0"/>
          <w:numId w:val="13"/>
        </w:numPr>
        <w:spacing w:line="360" w:before="105" w:after="105" w:lineRule="auto"/>
      </w:pPr>
      <w:r>
        <w:rPr>
          <w:rFonts w:eastAsia="source serif 4" w:cs="source serif 4" w:ascii="source serif 4" w:hAnsi="source serif 4"/>
          <w:color w:val="000000"/>
          <w:sz w:val="21"/>
        </w:rPr>
        <w:t xml:space="preserve">Day 4: </w:t>
      </w:r>
      <w:r>
        <w:rPr>
          <w:rFonts w:eastAsia="source serif 4" w:cs="source serif 4" w:ascii="source serif 4" w:hAnsi="source serif 4"/>
          <w:b/>
          <w:color w:val="000000"/>
          <w:sz w:val="21"/>
        </w:rPr>
        <w:t xml:space="preserve">Task 13 stress + ablation</w:t>
      </w:r>
      <w:r>
        <w:rPr>
          <w:rFonts w:eastAsia="source serif 4" w:cs="source serif 4" w:ascii="source serif 4" w:hAnsi="source serif 4"/>
          <w:color w:val="000000"/>
          <w:sz w:val="21"/>
        </w:rPr>
        <w:t xml:space="preserve"> (node removal, counterfactual).</w:t>
      </w:r>
    </w:p>
    <w:p>
      <w:pPr>
        <w:numPr>
          <w:ilvl w:val="0"/>
          <w:numId w:val="13"/>
        </w:numPr>
        <w:spacing w:line="360" w:before="105" w:after="105" w:lineRule="auto"/>
      </w:pPr>
      <w:r>
        <w:rPr>
          <w:rFonts w:eastAsia="source serif 4" w:cs="source serif 4" w:ascii="source serif 4" w:hAnsi="source serif 4"/>
          <w:color w:val="000000"/>
          <w:sz w:val="21"/>
        </w:rPr>
        <w:t xml:space="preserve">Day 5: </w:t>
      </w:r>
      <w:r>
        <w:rPr>
          <w:rFonts w:eastAsia="source serif 4" w:cs="source serif 4" w:ascii="source serif 4" w:hAnsi="source serif 4"/>
          <w:b/>
          <w:color w:val="000000"/>
          <w:sz w:val="21"/>
        </w:rPr>
        <w:t xml:space="preserve">MYCA integrated</w:t>
      </w:r>
      <w:r>
        <w:rPr>
          <w:rFonts w:eastAsia="source serif 4" w:cs="source serif 4" w:ascii="source serif 4" w:hAnsi="source serif 4"/>
          <w:color w:val="000000"/>
          <w:sz w:val="21"/>
        </w:rPr>
        <w:t xml:space="preserve"> (Task 8 with all seven agents; comparison against single-agent and multi-agent-without-verifier).</w:t>
      </w:r>
    </w:p>
    <w:p>
      <w:pPr>
        <w:numPr>
          <w:ilvl w:val="0"/>
          <w:numId w:val="13"/>
        </w:numPr>
        <w:spacing w:line="360" w:before="105" w:after="105" w:lineRule="auto"/>
      </w:pPr>
      <w:r>
        <w:rPr>
          <w:rFonts w:eastAsia="source serif 4" w:cs="source serif 4" w:ascii="source serif 4" w:hAnsi="source serif 4"/>
          <w:color w:val="000000"/>
          <w:sz w:val="21"/>
        </w:rPr>
        <w:t xml:space="preserve">Day 6: </w:t>
      </w:r>
      <w:r>
        <w:rPr>
          <w:rFonts w:eastAsia="source serif 4" w:cs="source serif 4" w:ascii="source serif 4" w:hAnsi="source serif 4"/>
          <w:b/>
          <w:color w:val="000000"/>
          <w:sz w:val="21"/>
        </w:rPr>
        <w:t xml:space="preserve">Task 14 Map Product</w:t>
      </w:r>
      <w:r>
        <w:rPr>
          <w:rFonts w:eastAsia="source serif 4" w:cs="source serif 4" w:ascii="source serif 4" w:hAnsi="source serif 4"/>
          <w:color w:val="000000"/>
          <w:sz w:val="21"/>
        </w:rPr>
        <w:t xml:space="preserve"> (deterministic lane) — fallback demo if Task 8 or Task 12 hit unrecoverable issues.</w:t>
      </w:r>
    </w:p>
    <w:p>
      <w:pPr>
        <w:numPr>
          <w:ilvl w:val="0"/>
          <w:numId w:val="13"/>
        </w:numPr>
        <w:spacing w:line="360" w:before="105" w:after="105" w:lineRule="auto"/>
      </w:pPr>
      <w:r>
        <w:rPr>
          <w:rFonts w:eastAsia="source serif 4" w:cs="source serif 4" w:ascii="source serif 4" w:hAnsi="source serif 4"/>
          <w:color w:val="000000"/>
          <w:sz w:val="21"/>
        </w:rPr>
        <w:t xml:space="preserve">Day 7: Pareto / reproducibility across five seeds; grouped bootstrap; paired tests.</w:t>
      </w:r>
    </w:p>
    <w:p>
      <w:pPr>
        <w:numPr>
          <w:ilvl w:val="0"/>
          <w:numId w:val="13"/>
        </w:numPr>
        <w:spacing w:line="360" w:before="105" w:after="105" w:lineRule="auto"/>
      </w:pPr>
      <w:r>
        <w:rPr>
          <w:rFonts w:eastAsia="source serif 4" w:cs="source serif 4" w:ascii="source serif 4" w:hAnsi="source serif 4"/>
          <w:color w:val="000000"/>
          <w:sz w:val="21"/>
        </w:rPr>
        <w:t xml:space="preserve">Day 8: hot wash, SME feedback capture, follow-on ask (per canonical §12).</w:t>
      </w:r>
    </w:p>
    <w:p>
      <w:pPr>
        <w:spacing w:line="360" w:after="210" w:lineRule="auto"/>
      </w:pPr>
      <w:r>
        <w:rPr>
          <w:rFonts w:eastAsia="source serif 4" w:cs="source serif 4" w:ascii="source serif 4" w:hAnsi="source serif 4"/>
          <w:color w:val="000000"/>
        </w:rPr>
        <w:t xml:space="preserve">Timing budgets from math plan remain: cold start ≤ 30 s, Task 12 ≤ 90 s, Task 13 ≤ 120 s, MYCA COA ≤ 240 s, integrated ≤ 420 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 w:name="bm_9_underperformance_script_verbatim"/>
      <w:r>
        <w:rPr>
          <w:rFonts w:eastAsia="source serif 4" w:cs="source serif 4" w:ascii="source serif 4" w:hAnsi="source serif 4"/>
          <w:b/>
          <w:color w:val="000000"/>
          <w:sz w:val="24"/>
        </w:rPr>
        <w:t xml:space="preserve">9. Underperformance script (verbatim)</w:t>
      </w:r>
      <w:bookmarkEnd w:id="20"/>
    </w:p>
    <w:p>
      <w:pPr>
        <w:spacing w:line="360" w:after="210" w:lineRule="auto"/>
      </w:pPr>
      <w:r>
        <w:rPr>
          <w:rFonts w:eastAsia="source serif 4" w:cs="source serif 4" w:ascii="source serif 4" w:hAnsi="source serif 4"/>
          <w:color w:val="000000"/>
        </w:rPr>
        <w:t xml:space="preserve">If a live configuration misses its preregistered target, Morgan says exactly this on the record:</w:t>
      </w:r>
    </w:p>
    <w:p>
      <w:pPr>
        <w:spacing w:line="360" w:after="210" w:lineRule="auto"/>
        <w:ind w:left="630"/>
      </w:pPr>
      <w:r>
        <w:rPr>
          <w:rFonts w:eastAsia="source serif 4" w:cs="source serif 4" w:ascii="source serif 4" w:hAnsi="source serif 4"/>
          <w:color w:val="000000"/>
        </w:rPr>
        <w:t xml:space="preserve">"This live configuration did not meet its preregistered target. The observed [metric] was [value] against a preregistered target of [target]. The deterministic baseline achieved [value]. We will report this in the run manifest and the release readiness summary. The result is captured, signed, and reproducible; we do not attempt to fix it live."</w:t>
      </w:r>
    </w:p>
    <w:p>
      <w:pPr>
        <w:spacing w:line="360" w:after="210" w:lineRule="auto"/>
      </w:pPr>
      <w:r>
        <w:rPr>
          <w:rFonts w:eastAsia="source serif 4" w:cs="source serif 4" w:ascii="source serif 4" w:hAnsi="source serif 4"/>
          <w:color w:val="000000"/>
        </w:rPr>
        <w:t xml:space="preserve">No hedging, no re-runs during evaluation, no explanations invented on stage. The signed run stands.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 w:name="bm_10_risks_the_five_to_watch"/>
      <w:r>
        <w:rPr>
          <w:rFonts w:eastAsia="source serif 4" w:cs="source serif 4" w:ascii="source serif 4" w:hAnsi="source serif 4"/>
          <w:b/>
          <w:color w:val="000000"/>
          <w:sz w:val="24"/>
        </w:rPr>
        <w:t xml:space="preserve">10. Risks — the five to watch</w:t>
      </w:r>
      <w:bookmarkEnd w:id="21"/>
    </w:p>
    <w:p>
      <w:pPr>
        <w:spacing w:line="360" w:after="210" w:lineRule="auto"/>
      </w:pPr>
      <w:r>
        <w:rPr>
          <w:rFonts w:eastAsia="source serif 4" w:cs="source serif 4" w:ascii="source serif 4" w:hAnsi="source serif 4"/>
          <w:color w:val="000000"/>
        </w:rPr>
        <w:t xml:space="preserve">From math plan risk register R1-R24, the five critical to ITDX are:</w:t>
      </w:r>
    </w:p>
    <w:p>
      <w:pPr>
        <w:numPr>
          <w:ilvl w:val="0"/>
          <w:numId w:val="14"/>
        </w:numPr>
        <w:spacing w:line="360" w:before="105" w:after="105" w:lineRule="auto"/>
      </w:pPr>
      <w:r>
        <w:rPr>
          <w:rFonts w:eastAsia="source serif 4" w:cs="source serif 4" w:ascii="source serif 4" w:hAnsi="source serif 4"/>
          <w:b/>
          <w:color w:val="000000"/>
          <w:sz w:val="21"/>
        </w:rPr>
        <w:t xml:space="preserve">R2</w:t>
      </w:r>
      <w:r>
        <w:rPr>
          <w:rFonts w:eastAsia="source serif 4" w:cs="source serif 4" w:ascii="source serif 4" w:hAnsi="source serif 4"/>
          <w:color w:val="000000"/>
          <w:sz w:val="21"/>
        </w:rPr>
        <w:t xml:space="preserve"> — Task 12 SSM training instability at 1.5 B; mitigation: 500 M is the ITDX-preferred tier, 1.5 B is a stretch demo.</w:t>
      </w:r>
    </w:p>
    <w:p>
      <w:pPr>
        <w:numPr>
          <w:ilvl w:val="0"/>
          <w:numId w:val="14"/>
        </w:numPr>
        <w:spacing w:line="360" w:before="105" w:after="105" w:lineRule="auto"/>
      </w:pPr>
      <w:r>
        <w:rPr>
          <w:rFonts w:eastAsia="source serif 4" w:cs="source serif 4" w:ascii="source serif 4" w:hAnsi="source serif 4"/>
          <w:b/>
          <w:color w:val="000000"/>
          <w:sz w:val="21"/>
        </w:rPr>
        <w:t xml:space="preserve">R5</w:t>
      </w:r>
      <w:r>
        <w:rPr>
          <w:rFonts w:eastAsia="source serif 4" w:cs="source serif 4" w:ascii="source serif 4" w:hAnsi="source serif 4"/>
          <w:color w:val="000000"/>
          <w:sz w:val="21"/>
        </w:rPr>
        <w:t xml:space="preserve"> — Task 13 GNN over-smoothing on small graph; mitigation: hypergraph incidence with typed edges + residual connections; deterministic association runs first.</w:t>
      </w:r>
    </w:p>
    <w:p>
      <w:pPr>
        <w:numPr>
          <w:ilvl w:val="0"/>
          <w:numId w:val="14"/>
        </w:numPr>
        <w:spacing w:line="360" w:before="105" w:after="105" w:lineRule="auto"/>
      </w:pPr>
      <w:r>
        <w:rPr>
          <w:rFonts w:eastAsia="source serif 4" w:cs="source serif 4" w:ascii="source serif 4" w:hAnsi="source serif 4"/>
          <w:b/>
          <w:color w:val="000000"/>
          <w:sz w:val="21"/>
        </w:rPr>
        <w:t xml:space="preserve">R6</w:t>
      </w:r>
      <w:r>
        <w:rPr>
          <w:rFonts w:eastAsia="source serif 4" w:cs="source serif 4" w:ascii="source serif 4" w:hAnsi="source serif 4"/>
          <w:color w:val="000000"/>
          <w:sz w:val="21"/>
        </w:rPr>
        <w:t xml:space="preserve"> — MYCA multi-agent latency &gt; 240 s; mitigation: bounded critic iterations (max 2 revisions), deterministic evidence-verifier short-circuit.</w:t>
      </w:r>
    </w:p>
    <w:p>
      <w:pPr>
        <w:numPr>
          <w:ilvl w:val="0"/>
          <w:numId w:val="14"/>
        </w:numPr>
        <w:spacing w:line="360" w:before="105" w:after="105" w:lineRule="auto"/>
      </w:pPr>
      <w:r>
        <w:rPr>
          <w:rFonts w:eastAsia="source serif 4" w:cs="source serif 4" w:ascii="source serif 4" w:hAnsi="source serif 4"/>
          <w:b/>
          <w:color w:val="000000"/>
          <w:sz w:val="21"/>
        </w:rPr>
        <w:t xml:space="preserve">R11</w:t>
      </w:r>
      <w:r>
        <w:rPr>
          <w:rFonts w:eastAsia="source serif 4" w:cs="source serif 4" w:ascii="source serif 4" w:hAnsi="source serif 4"/>
          <w:color w:val="000000"/>
          <w:sz w:val="21"/>
        </w:rPr>
        <w:t xml:space="preserve"> — Data split contamination across NLM-Bench families; mitigation: grouped bootstrap by dataset-family, five seeds, documented held-out sets.</w:t>
      </w:r>
    </w:p>
    <w:p>
      <w:pPr>
        <w:numPr>
          <w:ilvl w:val="0"/>
          <w:numId w:val="14"/>
        </w:numPr>
        <w:spacing w:line="360" w:before="105" w:after="105" w:lineRule="auto"/>
      </w:pPr>
      <w:r>
        <w:rPr>
          <w:rFonts w:eastAsia="source serif 4" w:cs="source serif 4" w:ascii="source serif 4" w:hAnsi="source serif 4"/>
          <w:b/>
          <w:color w:val="000000"/>
          <w:sz w:val="21"/>
        </w:rPr>
        <w:t xml:space="preserve">R13</w:t>
      </w:r>
      <w:r>
        <w:rPr>
          <w:rFonts w:eastAsia="source serif 4" w:cs="source serif 4" w:ascii="source serif 4" w:hAnsi="source serif 4"/>
          <w:color w:val="000000"/>
          <w:sz w:val="21"/>
        </w:rPr>
        <w:t xml:space="preserve"> — Fallback ladder mis-labels degraded mode; mitigation: every fallback state has a visible UI label (medium / small / quantized / distilled / classical / prerecorded / static).</w:t>
      </w:r>
    </w:p>
    <w:p>
      <w:pPr>
        <w:spacing w:line="360" w:after="210" w:lineRule="auto"/>
      </w:pPr>
      <w:r>
        <w:rPr>
          <w:rFonts w:eastAsia="source serif 4" w:cs="source serif 4" w:ascii="source serif 4" w:hAnsi="source serif 4"/>
          <w:color w:val="000000"/>
        </w:rPr>
        <w:t xml:space="preserve">Any of R2/R5/R6/R11/R13 triggering during evaluation → underperformance script (§9) + note in run manifest.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 w:name="bm_11_what_this_plan_is_not"/>
      <w:r>
        <w:rPr>
          <w:rFonts w:eastAsia="source serif 4" w:cs="source serif 4" w:ascii="source serif 4" w:hAnsi="source serif 4"/>
          <w:b/>
          <w:color w:val="000000"/>
          <w:sz w:val="24"/>
        </w:rPr>
        <w:t xml:space="preserve">11. What this plan is not</w:t>
      </w:r>
      <w:bookmarkEnd w:id="22"/>
    </w:p>
    <w:p>
      <w:pPr>
        <w:numPr>
          <w:ilvl w:val="0"/>
          <w:numId w:val="15"/>
        </w:numPr>
        <w:spacing w:line="360" w:before="105" w:after="105" w:lineRule="auto"/>
      </w:pPr>
      <w:r>
        <w:rPr>
          <w:rFonts w:eastAsia="source serif 4" w:cs="source serif 4" w:ascii="source serif 4" w:hAnsi="source serif 4"/>
          <w:color w:val="000000"/>
          <w:sz w:val="21"/>
        </w:rPr>
        <w:t xml:space="preserve">Not a hardware demo. No droid enters the room.</w:t>
      </w:r>
    </w:p>
    <w:p>
      <w:pPr>
        <w:numPr>
          <w:ilvl w:val="0"/>
          <w:numId w:val="15"/>
        </w:numPr>
        <w:spacing w:line="360" w:before="105" w:after="105" w:lineRule="auto"/>
      </w:pPr>
      <w:r>
        <w:rPr>
          <w:rFonts w:eastAsia="source serif 4" w:cs="source serif 4" w:ascii="source serif 4" w:hAnsi="source serif 4"/>
          <w:color w:val="000000"/>
          <w:sz w:val="21"/>
        </w:rPr>
        <w:t xml:space="preserve">Not a pretraining run. We fine-tune 120 M / 500 M / 1.5 B tiers; we do not claim to pretrain a foundation model in 8-24 hours on a laptop.</w:t>
      </w:r>
    </w:p>
    <w:p>
      <w:pPr>
        <w:numPr>
          <w:ilvl w:val="0"/>
          <w:numId w:val="15"/>
        </w:numPr>
        <w:spacing w:line="360" w:before="105" w:after="105" w:lineRule="auto"/>
      </w:pPr>
      <w:r>
        <w:rPr>
          <w:rFonts w:eastAsia="source serif 4" w:cs="source serif 4" w:ascii="source serif 4" w:hAnsi="source serif 4"/>
          <w:color w:val="000000"/>
          <w:sz w:val="21"/>
        </w:rPr>
        <w:t xml:space="preserve">Not a biological-prediction claim. FCI is one biosphere signal source contributing to a joint state estimate; we never claim mycelium "predicts."</w:t>
      </w:r>
    </w:p>
    <w:p>
      <w:pPr>
        <w:numPr>
          <w:ilvl w:val="0"/>
          <w:numId w:val="15"/>
        </w:numPr>
        <w:spacing w:line="360" w:before="105" w:after="105" w:lineRule="auto"/>
      </w:pPr>
      <w:r>
        <w:rPr>
          <w:rFonts w:eastAsia="source serif 4" w:cs="source serif 4" w:ascii="source serif 4" w:hAnsi="source serif 4"/>
          <w:color w:val="000000"/>
          <w:sz w:val="21"/>
        </w:rPr>
        <w:t xml:space="preserve">Not a Bitcoin blockchain claim. DIRTNet is Bitcoin-derived at the structural level (signed obs ↔ tx, pending queue ↔ mempool, epoch root ↔ block Merkle) but uses </w:t>
      </w:r>
      <w:r>
        <w:rPr>
          <w:rFonts w:eastAsia="source serif 4" w:cs="source serif 4" w:ascii="source serif 4" w:hAnsi="source serif 4"/>
          <w:b/>
          <w:color w:val="000000"/>
          <w:sz w:val="21"/>
        </w:rPr>
        <w:t xml:space="preserve">no proof-of-work</w:t>
      </w:r>
      <w:r>
        <w:rPr>
          <w:rFonts w:eastAsia="source serif 4" w:cs="source serif 4" w:ascii="source serif 4" w:hAnsi="source serif 4"/>
          <w:color w:val="000000"/>
          <w:sz w:val="21"/>
        </w:rPr>
        <w:t xml:space="preserve"> — permissioned quorum with optional public timestamp anchor.</w:t>
      </w:r>
    </w:p>
    <w:p>
      <w:pPr>
        <w:numPr>
          <w:ilvl w:val="0"/>
          <w:numId w:val="15"/>
        </w:numPr>
        <w:spacing w:line="360" w:before="105" w:after="105" w:lineRule="auto"/>
      </w:pPr>
      <w:r>
        <w:rPr>
          <w:rFonts w:eastAsia="source serif 4" w:cs="source serif 4" w:ascii="source serif 4" w:hAnsi="source serif 4"/>
          <w:color w:val="000000"/>
          <w:sz w:val="21"/>
        </w:rPr>
        <w:t xml:space="preserve">Not an "acoustic-to-radio translation" claim. Hydrophone is not a modem. Translation is claimed only after a dedicated modem/transducer test passes.</w:t>
      </w:r>
    </w:p>
    <w:p>
      <w:pPr>
        <w:numPr>
          <w:ilvl w:val="0"/>
          <w:numId w:val="15"/>
        </w:numPr>
        <w:spacing w:line="360" w:before="105" w:after="105" w:lineRule="auto"/>
      </w:pPr>
      <w:r>
        <w:rPr>
          <w:rFonts w:eastAsia="source serif 4" w:cs="source serif 4" w:ascii="source serif 4" w:hAnsi="source serif 4"/>
          <w:color w:val="000000"/>
          <w:sz w:val="21"/>
        </w:rPr>
        <w:t xml:space="preserve">Not a CMMC certification claim. Mycosoft is "pursuing CMMC Level 2 (self-assessment in progress, C3PAO audit path underway)."</w:t>
      </w:r>
    </w:p>
    <w:p>
      <w:pPr>
        <w:numPr>
          <w:ilvl w:val="0"/>
          <w:numId w:val="15"/>
        </w:numPr>
        <w:spacing w:line="360" w:before="105" w:after="105" w:lineRule="auto"/>
      </w:pPr>
      <w:r>
        <w:rPr>
          <w:rFonts w:eastAsia="source serif 4" w:cs="source serif 4" w:ascii="source serif 4" w:hAnsi="source serif 4"/>
          <w:color w:val="000000"/>
          <w:sz w:val="21"/>
        </w:rPr>
        <w:t xml:space="preserve">Not a Zeetachec claim. 100% self-perform. Zeetachec never appears in any ITDX26 artifact.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 w:name="bm_12_files_this_plan_supersedes"/>
      <w:r>
        <w:rPr>
          <w:rFonts w:eastAsia="source serif 4" w:cs="source serif 4" w:ascii="source serif 4" w:hAnsi="source serif 4"/>
          <w:b/>
          <w:color w:val="000000"/>
          <w:sz w:val="24"/>
        </w:rPr>
        <w:t xml:space="preserve">12. Files this plan supersedes</w:t>
      </w:r>
      <w:bookmarkEnd w:id="23"/>
    </w:p>
    <w:p>
      <w:pPr>
        <w:spacing w:line="360" w:after="210" w:lineRule="auto"/>
      </w:pPr>
      <w:r>
        <w:rPr>
          <w:rFonts w:eastAsia="source serif 4" w:cs="source serif 4" w:ascii="source serif 4" w:hAnsi="source serif 4"/>
          <w:color w:val="000000"/>
        </w:rPr>
        <w:t xml:space="preserve">None. This plan is an </w:t>
      </w:r>
      <w:r>
        <w:rPr>
          <w:rFonts w:eastAsia="source serif 4" w:cs="source serif 4" w:ascii="source serif 4" w:hAnsi="source serif 4"/>
          <w:b/>
          <w:color w:val="000000"/>
        </w:rPr>
        <w:t xml:space="preserve">overlay</w:t>
      </w:r>
      <w:r>
        <w:rPr>
          <w:rFonts w:eastAsia="source serif 4" w:cs="source serif 4" w:ascii="source serif 4" w:hAnsi="source serif 4"/>
          <w:color w:val="000000"/>
        </w:rPr>
        <w:t xml:space="preserve"> on the existing kept-prep PDFs, the canonical Coastal Sentinel v1.0 package, and the ITDX26 Mathematical Demonstration Plan. Nothing in the underlying artifacts is discarded. The overlay is:</w:t>
      </w:r>
    </w:p>
    <w:p>
      <w:pPr>
        <w:numPr>
          <w:ilvl w:val="0"/>
          <w:numId w:val="16"/>
        </w:numPr>
        <w:spacing w:line="360" w:before="105" w:after="105" w:lineRule="auto"/>
      </w:pPr>
      <w:r>
        <w:rPr>
          <w:rFonts w:eastAsia="source serif 4" w:cs="source serif 4" w:ascii="source serif 4" w:hAnsi="source serif 4"/>
          <w:color w:val="000000"/>
          <w:sz w:val="21"/>
        </w:rPr>
        <w:t xml:space="preserve">FormSpace framing in the deck and PDF §1-§2 (six PDFs listed in §7).</w:t>
      </w:r>
    </w:p>
    <w:p>
      <w:pPr>
        <w:numPr>
          <w:ilvl w:val="0"/>
          <w:numId w:val="16"/>
        </w:numPr>
        <w:spacing w:line="360" w:before="105" w:after="105" w:lineRule="auto"/>
      </w:pPr>
      <w:r>
        <w:rPr>
          <w:rFonts w:eastAsia="source serif 4" w:cs="source serif 4" w:ascii="source serif 4" w:hAnsi="source serif 4"/>
          <w:color w:val="000000"/>
          <w:sz w:val="21"/>
        </w:rPr>
        <w:t xml:space="preserve">One new Task 14 PDF.</w:t>
      </w:r>
    </w:p>
    <w:p>
      <w:pPr>
        <w:numPr>
          <w:ilvl w:val="0"/>
          <w:numId w:val="16"/>
        </w:numPr>
        <w:spacing w:line="360" w:before="105" w:after="105" w:lineRule="auto"/>
      </w:pPr>
      <w:r>
        <w:rPr>
          <w:rFonts w:eastAsia="source serif 4" w:cs="source serif 4" w:ascii="source serif 4" w:hAnsi="source serif 4"/>
          <w:color w:val="000000"/>
          <w:sz w:val="21"/>
        </w:rPr>
        <w:t xml:space="preserve">One new FormSpace one-pager.</w:t>
      </w:r>
    </w:p>
    <w:p>
      <w:pPr>
        <w:numPr>
          <w:ilvl w:val="0"/>
          <w:numId w:val="16"/>
        </w:numPr>
        <w:spacing w:line="360" w:before="105" w:after="105" w:lineRule="auto"/>
      </w:pPr>
      <w:r>
        <w:rPr>
          <w:rFonts w:eastAsia="source serif 4" w:cs="source serif 4" w:ascii="source serif 4" w:hAnsi="source serif 4"/>
          <w:color w:val="000000"/>
          <w:sz w:val="21"/>
        </w:rPr>
        <w:t xml:space="preserve">Sierra Vista script overlay in the 25-minute briefing (table in §4).</w:t>
      </w:r>
    </w:p>
    <w:p>
      <w:pPr>
        <w:spacing w:line="360" w:after="210" w:lineRule="auto"/>
      </w:pPr>
      <w:r>
        <w:rPr>
          <w:rFonts w:eastAsia="source serif 4" w:cs="source serif 4" w:ascii="source serif 4" w:hAnsi="source serif 4"/>
          <w:color w:val="000000"/>
        </w:rPr>
        <w:t xml:space="preserve">Every other artifact — harness, DIRTNet emulator, replay bundle, benchmark datasets, evaluation runs, timing budgets, risk register — stays as originally planned.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source serif 4" w:cs="source serif 4" w:ascii="source serif 4" w:hAnsi="source serif 4"/>
          <w:i/>
          <w:color w:val="000000"/>
        </w:rPr>
        <w:t xml:space="preserve">Signature line for any downstream artifact: "Morgan Rockcoons, Founder &amp; CEO, Mycosoft, LLC — </w:t>
      </w:r>
      <w:hyperlink r:id="rId5">
        <w:r>
          <w:rPr>
            <w:rFonts w:eastAsia="source serif 4" w:cs="source serif 4" w:ascii="source serif 4" w:hAnsi="source serif 4"/>
            <w:i/>
            <w:color w:val="#000"/>
            <w:u w:val="single"/>
          </w:rPr>
          <w:t xml:space="preserve">morgan@mycosoft.org</w:t>
        </w:r>
      </w:hyperlink>
      <w:r>
        <w:rPr>
          <w:rFonts w:eastAsia="source serif 4" w:cs="source serif 4" w:ascii="source serif 4" w:hAnsi="source serif 4"/>
          <w:i/>
          <w:color w:val="000000"/>
        </w:rPr>
        <w:t xml:space="preserve"> — (619) 483-1077." Never Rockwell.</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menlo">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mailto:morgan@mycosoft.org"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2026-09-01T06:17:02.748Z</dcterms:created>
  <dcterms:modified xsi:type="dcterms:W3CDTF">2026-09-01T06:17:02.748Z</dcterms:modified>
</cp:coreProperties>
</file>