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juaaffgq84t" w:id="0"/>
      <w:bookmarkEnd w:id="0"/>
      <w:r w:rsidDel="00000000" w:rsidR="00000000" w:rsidRPr="00000000">
        <w:rPr>
          <w:b w:val="1"/>
          <w:bCs w:val="1"/>
          <w:sz w:val="46"/>
          <w:szCs w:val="46"/>
          <w:rtl w:val="0"/>
        </w:rPr>
        <w:t xml:space="preserve">NLM, DIRTNet, and ITDX26 architecture package</w:t>
      </w:r>
    </w:p>
    <w:p w:rsidR="00000000" w:rsidDel="00000000" w:rsidP="00000000" w:rsidRDefault="00000000" w:rsidRPr="00000000" w14:paraId="00000002">
      <w:pPr>
        <w:spacing w:after="240" w:before="240" w:lineRule="auto"/>
        <w:rPr/>
      </w:pPr>
      <w:r w:rsidDel="00000000" w:rsidR="00000000" w:rsidRPr="00000000">
        <w:rPr>
          <w:rtl w:val="0"/>
        </w:rPr>
        <w:t xml:space="preserve">The architecture now uses </w:t>
      </w:r>
      <w:r w:rsidDel="00000000" w:rsidR="00000000" w:rsidRPr="00000000">
        <w:rPr>
          <w:b w:val="1"/>
          <w:bCs w:val="1"/>
          <w:rtl w:val="0"/>
        </w:rPr>
        <w:t xml:space="preserve">MYCA</w:t>
      </w:r>
      <w:r w:rsidDel="00000000" w:rsidR="00000000" w:rsidRPr="00000000">
        <w:rPr>
          <w:rtl w:val="0"/>
        </w:rPr>
        <w:t xml:space="preserve"> consistently and establishes </w:t>
      </w:r>
      <w:r w:rsidDel="00000000" w:rsidR="00000000" w:rsidRPr="00000000">
        <w:rPr>
          <w:b w:val="1"/>
          <w:bCs w:val="1"/>
          <w:rtl w:val="0"/>
        </w:rPr>
        <w:t xml:space="preserve">DIRTNet — the Decentralized Edge Network — as a first-class system layer</w:t>
      </w:r>
      <w:r w:rsidDel="00000000" w:rsidR="00000000" w:rsidRPr="00000000">
        <w:rPr>
          <w:rtl w:val="0"/>
        </w:rPr>
        <w:t xml:space="preserve"> rather than treating networking as an implementation detail.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zkhxe5hvlol" w:id="1"/>
      <w:bookmarkEnd w:id="1"/>
      <w:r w:rsidDel="00000000" w:rsidR="00000000" w:rsidRPr="00000000">
        <w:rPr>
          <w:b w:val="1"/>
          <w:bCs w:val="1"/>
          <w:sz w:val="34"/>
          <w:szCs w:val="34"/>
          <w:rtl w:val="0"/>
        </w:rPr>
        <w:t xml:space="preserve">Deliverables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jumzleexvhx" w:id="2"/>
      <w:bookmarkEnd w:id="2"/>
      <w:r w:rsidDel="00000000" w:rsidR="00000000" w:rsidRPr="00000000">
        <w:rPr>
          <w:b w:val="1"/>
          <w:bCs w:val="1"/>
          <w:color w:val="000000"/>
          <w:sz w:val="26"/>
          <w:szCs w:val="26"/>
          <w:rtl w:val="0"/>
        </w:rPr>
        <w:t xml:space="preserve">Complete scientific package</w:t>
      </w:r>
    </w:p>
    <w:p w:rsidR="00000000" w:rsidDel="00000000" w:rsidP="00000000" w:rsidRDefault="00000000" w:rsidRPr="00000000" w14:paraId="00000005">
      <w:pPr>
        <w:spacing w:after="240" w:before="240" w:lineRule="auto"/>
        <w:rPr/>
      </w:pPr>
      <w:r w:rsidDel="00000000" w:rsidR="00000000" w:rsidRPr="00000000">
        <w:rPr>
          <w:rtl w:val="0"/>
        </w:rPr>
        <w:t xml:space="preserve">Download the Mycosoft NLM + DIRTNet + ITDX26 Scientific Package v0.2</w:t>
      </w:r>
    </w:p>
    <w:p w:rsidR="00000000" w:rsidDel="00000000" w:rsidP="00000000" w:rsidRDefault="00000000" w:rsidRPr="00000000" w14:paraId="00000006">
      <w:pPr>
        <w:spacing w:after="240" w:before="240" w:lineRule="auto"/>
        <w:rPr/>
      </w:pPr>
      <w:r w:rsidDel="00000000" w:rsidR="00000000" w:rsidRPr="00000000">
        <w:rPr>
          <w:rtl w:val="0"/>
        </w:rPr>
        <w:t xml:space="preserve">This is the comprehensive package: approximately </w:t>
      </w:r>
      <w:r w:rsidDel="00000000" w:rsidR="00000000" w:rsidRPr="00000000">
        <w:rPr>
          <w:b w:val="1"/>
          <w:bCs w:val="1"/>
          <w:rtl w:val="0"/>
        </w:rPr>
        <w:t xml:space="preserve">51,000 words</w:t>
      </w:r>
      <w:r w:rsidDel="00000000" w:rsidR="00000000" w:rsidRPr="00000000">
        <w:rPr>
          <w:rtl w:val="0"/>
        </w:rPr>
        <w:t xml:space="preserve">, 18 architecture figures, nine machine-readable schemas/configurations, the NLM mathematical specification, the DIRTNet distributed-systems specification, the full ITDX26 plan, source scripts, revision notes, claim-status controls, and SHA-256 manifests.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kocej89ul5g" w:id="3"/>
      <w:bookmarkEnd w:id="3"/>
      <w:r w:rsidDel="00000000" w:rsidR="00000000" w:rsidRPr="00000000">
        <w:rPr>
          <w:b w:val="1"/>
          <w:bCs w:val="1"/>
          <w:color w:val="000000"/>
          <w:sz w:val="26"/>
          <w:szCs w:val="26"/>
          <w:rtl w:val="0"/>
        </w:rPr>
        <w:t xml:space="preserve">Focused ITDX26 package</w:t>
      </w:r>
    </w:p>
    <w:p w:rsidR="00000000" w:rsidDel="00000000" w:rsidP="00000000" w:rsidRDefault="00000000" w:rsidRPr="00000000" w14:paraId="00000008">
      <w:pPr>
        <w:spacing w:after="240" w:before="240" w:lineRule="auto"/>
        <w:rPr/>
      </w:pPr>
      <w:r w:rsidDel="00000000" w:rsidR="00000000" w:rsidRPr="00000000">
        <w:rPr>
          <w:rtl w:val="0"/>
        </w:rPr>
        <w:t xml:space="preserve">Download the ITDX26 NLM + DIRTNet Mathematical Demonstration Package v1.1</w:t>
      </w:r>
    </w:p>
    <w:p w:rsidR="00000000" w:rsidDel="00000000" w:rsidP="00000000" w:rsidRDefault="00000000" w:rsidRPr="00000000" w14:paraId="00000009">
      <w:pPr>
        <w:spacing w:after="240" w:before="240" w:lineRule="auto"/>
        <w:rPr/>
      </w:pPr>
      <w:r w:rsidDel="00000000" w:rsidR="00000000" w:rsidRPr="00000000">
        <w:rPr>
          <w:rtl w:val="0"/>
        </w:rPr>
        <w:t xml:space="preserve">This is the event-facing package containing the 33,000-word demonstration plan, DIRTNet addendum, figures 1–18, schemas, offline-emulator configuration, source scripts, contact sheet, and integrity manifest.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cyjsidbt407" w:id="4"/>
      <w:bookmarkEnd w:id="4"/>
      <w:r w:rsidDel="00000000" w:rsidR="00000000" w:rsidRPr="00000000">
        <w:rPr>
          <w:b w:val="1"/>
          <w:bCs w:val="1"/>
          <w:color w:val="000000"/>
          <w:sz w:val="26"/>
          <w:szCs w:val="26"/>
          <w:rtl w:val="0"/>
        </w:rPr>
        <w:t xml:space="preserve">Primary documents</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rtl w:val="0"/>
        </w:rPr>
        <w:t xml:space="preserve">NLM Scientific and Mathematical Architecture</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DIRTNet Decentralized Edge Intelligence Architecture</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Full ITDX26 Mathematical Demonstration Plan</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Technical architecture outline</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Version 0.2 revision notes</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Package README</w:t>
      </w:r>
    </w:p>
    <w:p w:rsidR="00000000" w:rsidDel="00000000" w:rsidP="00000000" w:rsidRDefault="00000000" w:rsidRPr="00000000" w14:paraId="00000011">
      <w:pPr>
        <w:spacing w:after="240" w:before="240" w:lineRule="auto"/>
        <w:rPr/>
      </w:pPr>
      <w:r w:rsidDel="00000000" w:rsidR="00000000" w:rsidRPr="00000000">
        <w:rPr>
          <w:rtl w:val="0"/>
        </w:rPr>
        <w:t xml:space="preserve">Both ZIP archives passed decompression verification and contain internal SHA-256 manifests.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2hg4cb49jh6" w:id="5"/>
      <w:bookmarkEnd w:id="5"/>
      <w:r w:rsidDel="00000000" w:rsidR="00000000" w:rsidRPr="00000000">
        <w:rPr>
          <w:b w:val="1"/>
          <w:bCs w:val="1"/>
          <w:sz w:val="34"/>
          <w:szCs w:val="34"/>
          <w:rtl w:val="0"/>
        </w:rPr>
        <w:t xml:space="preserve">DIRTNet is now the coordinating architecture</w:t>
      </w:r>
    </w:p>
    <w:p w:rsidR="00000000" w:rsidDel="00000000" w:rsidP="00000000" w:rsidRDefault="00000000" w:rsidRPr="00000000" w14:paraId="00000014">
      <w:pPr>
        <w:spacing w:after="240" w:before="240" w:lineRule="auto"/>
        <w:rPr/>
      </w:pPr>
      <w:r w:rsidDel="00000000" w:rsidR="00000000" w:rsidRPr="00000000">
        <w:rPr>
          <w:rtl w:val="0"/>
        </w:rPr>
        <w:t xml:space="preserve">Every Mycosoft field device is modeled as a </w:t>
      </w:r>
      <w:r w:rsidDel="00000000" w:rsidR="00000000" w:rsidRPr="00000000">
        <w:rPr>
          <w:b w:val="1"/>
          <w:bCs w:val="1"/>
          <w:rtl w:val="0"/>
        </w:rPr>
        <w:t xml:space="preserve">capability-tiered edge data-center node</w:t>
      </w:r>
      <w:r w:rsidDel="00000000" w:rsidR="00000000" w:rsidRPr="00000000">
        <w:rPr>
          <w:rtl w:val="0"/>
        </w:rPr>
        <w:t xml:space="preserve">. The processing capacity varies—from deterministic ESP32-class acquisition and TinyML through Jetson-class local NLM inference and gateway orchestration—but each node follows the same architectural contract:</w:t>
      </w:r>
    </w:p>
    <w:p w:rsidR="00000000" w:rsidDel="00000000" w:rsidP="00000000" w:rsidRDefault="00000000" w:rsidRPr="00000000" w14:paraId="00000015">
      <w:pPr>
        <w:rPr/>
      </w:pPr>
      <w:r w:rsidDel="00000000" w:rsidR="00000000" w:rsidRPr="00000000">
        <w:rPr>
          <w:rtl w:val="0"/>
        </w:rPr>
        <w:t xml:space="preserve">Ni=(Ii, Ki, Ci, Si, Mi, Qi, Li),\mathcal{N}_i= \left( I_i,\, K_i,\, C_i,\, S_i,\, M_i,\, Q_i,\, L_i \right),</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IiI_i is the device identity;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KiK_i is its cryptographic key material;</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CiC_i is its compute capability;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SiS_i is its sensor and actuator capability;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MiM_i is local memory and model state;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QiQ_i is the outbound store-and-forward queue;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LiL_i is the current set of available communication links.</w:t>
      </w:r>
    </w:p>
    <w:p w:rsidR="00000000" w:rsidDel="00000000" w:rsidP="00000000" w:rsidRDefault="00000000" w:rsidRPr="00000000" w14:paraId="0000001E">
      <w:pPr>
        <w:spacing w:after="240" w:before="240" w:lineRule="auto"/>
        <w:rPr/>
      </w:pPr>
      <w:r w:rsidDel="00000000" w:rsidR="00000000" w:rsidRPr="00000000">
        <w:rPr>
          <w:rtl w:val="0"/>
        </w:rPr>
        <w:t xml:space="preserve">A node can therefore:</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capture physical or biological signals;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perform deterministic calibration and quality control;</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run local feature extraction or NLM inference;</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create signed, content-addressed evidence;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continue operating while disconnected;</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select among available transports;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reconcile its evidence and model state later;</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accept bounded tasks from MYCA;</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execute only actions admitted by AVANI.</w:t>
      </w:r>
    </w:p>
    <w:p w:rsidR="00000000" w:rsidDel="00000000" w:rsidP="00000000" w:rsidRDefault="00000000" w:rsidRPr="00000000" w14:paraId="00000028">
      <w:pPr>
        <w:spacing w:after="240" w:before="240" w:lineRule="auto"/>
        <w:rPr/>
      </w:pPr>
      <w:r w:rsidDel="00000000" w:rsidR="00000000" w:rsidRPr="00000000">
        <w:rPr>
          <w:rtl w:val="0"/>
        </w:rPr>
        <w:t xml:space="preserve">This follows the public DIRTNet architecture describing a decentralized network spanning MycoBrain, edge GPUs, Mycorrhizae messaging, LoRa/LoRaWAN, Meshtastic, Wi-Fi, LTE, satellite, local inference, and distributed environmental sensing. (</w:t>
      </w:r>
      <w:hyperlink r:id="rId6">
        <w:r w:rsidDel="00000000" w:rsidR="00000000" w:rsidRPr="00000000">
          <w:rPr>
            <w:color w:val="1155cc"/>
            <w:u w:val="single"/>
            <w:rtl w:val="0"/>
          </w:rPr>
          <w:t xml:space="preserve">Mycosoft</w:t>
        </w:r>
      </w:hyperlink>
      <w:r w:rsidDel="00000000" w:rsidR="00000000" w:rsidRPr="00000000">
        <w:rPr>
          <w:rtl w:val="0"/>
        </w:rPr>
        <w:t xml:space="preserve">) The uploaded capability materials likewise describe MycoBrain nodes as self-healing edge systems with SHA-256/Merkle provenance and local autonomy.</w:t>
      </w:r>
    </w:p>
    <w:p w:rsidR="00000000" w:rsidDel="00000000" w:rsidP="00000000" w:rsidRDefault="00000000" w:rsidRPr="00000000" w14:paraId="00000029">
      <w:pPr>
        <w:spacing w:after="240" w:before="240" w:lineRule="auto"/>
        <w:rPr/>
      </w:pPr>
      <w:r w:rsidDel="00000000" w:rsidR="00000000" w:rsidRPr="00000000">
        <w:rPr>
          <w:rtl w:val="0"/>
        </w:rPr>
        <w:t xml:space="preserve">The resulting hierarchy is:</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Physical environment and living systems</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BlueSight · SINE · GANDHA · FCI · other sensors</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MycoBrain deterministic acquisition and local control</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Jetson / edge-NLM inference where installed</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Signed RootedNatureFrame / NMF evidence</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Mycorrhizae semantic pub/sub</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DIRTNet adaptive transport and synchronization</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Federated MINDEX evidence and model memory</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MYCA distributed orchestration</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AVANI governance and action constraints</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NatureOS or FUSARIUM customer surface</w:t>
      </w:r>
    </w:p>
    <w:p w:rsidR="00000000" w:rsidDel="00000000" w:rsidP="00000000" w:rsidRDefault="00000000" w:rsidRPr="00000000" w14:paraId="0000003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kl5pdc7pdvky" w:id="6"/>
      <w:bookmarkEnd w:id="6"/>
      <w:r w:rsidDel="00000000" w:rsidR="00000000" w:rsidRPr="00000000">
        <w:rPr>
          <w:b w:val="1"/>
          <w:bCs w:val="1"/>
          <w:sz w:val="34"/>
          <w:szCs w:val="34"/>
          <w:rtl w:val="0"/>
        </w:rPr>
        <w:t xml:space="preserve">Bitcoin-derived architecture, mapped precisely</w:t>
      </w:r>
    </w:p>
    <w:p w:rsidR="00000000" w:rsidDel="00000000" w:rsidP="00000000" w:rsidRDefault="00000000" w:rsidRPr="00000000" w14:paraId="00000041">
      <w:pPr>
        <w:spacing w:after="240" w:before="240" w:lineRule="auto"/>
        <w:rPr/>
      </w:pPr>
      <w:r w:rsidDel="00000000" w:rsidR="00000000" w:rsidRPr="00000000">
        <w:rPr>
          <w:rtl w:val="0"/>
        </w:rPr>
        <w:t xml:space="preserve">The revision uses the applicable architecture introduced by Bitcoin without claiming that DIRTNet is a cryptocurrency or Bitcoin fork.</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6185"/>
        <w:tblGridChange w:id="0">
          <w:tblGrid>
            <w:gridCol w:w="3080"/>
            <w:gridCol w:w="6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Bitcoin 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DIRTNet equivalent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Wallet keypair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Device identity and signing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Signed sensor, inference, model-update, or action record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Autonomous edge sensor/compute node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Local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Append-only local evidence 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Block Merkle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Device or deployment epoch evidence root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SPV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Compact proof that a sensor record belongs to an epoch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Peer 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Mycorrhizae/mesh record dissemination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Chain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Parent-linked RootedNatureFrame lineage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Reorganization/reconciliation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Partition recovery and deterministic merge policy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Evidence mining:</w:t>
            </w:r>
            <w:r w:rsidDel="00000000" w:rsidR="00000000" w:rsidRPr="00000000">
              <w:rPr>
                <w:rtl w:val="0"/>
              </w:rPr>
              <w:t xml:space="preserve"> validation, feature extraction, anomaly scoring, and checkpoint construction</w:t>
            </w:r>
          </w:p>
        </w:tc>
      </w:tr>
    </w:tbl>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For message mjm_j, canonical serialization C(⋅)C(\cdot), and device signing key skisk_i:</w:t>
      </w:r>
    </w:p>
    <w:p w:rsidR="00000000" w:rsidDel="00000000" w:rsidP="00000000" w:rsidRDefault="00000000" w:rsidRPr="00000000" w14:paraId="00000059">
      <w:pPr>
        <w:rPr/>
      </w:pPr>
      <w:r w:rsidDel="00000000" w:rsidR="00000000" w:rsidRPr="00000000">
        <w:rPr>
          <w:rtl w:val="0"/>
        </w:rPr>
        <w:t xml:space="preserve">hj=SHA256⁡(C(mj)),h_j=\operatorname{SHA256}(C(m_j)), σj=Sign⁡ski(hj).\sigma_j=\operatorname{Sign}_{sk_i}(h_j).</w:t>
      </w:r>
    </w:p>
    <w:p w:rsidR="00000000" w:rsidDel="00000000" w:rsidP="00000000" w:rsidRDefault="00000000" w:rsidRPr="00000000" w14:paraId="0000005A">
      <w:pPr>
        <w:spacing w:after="240" w:before="240" w:lineRule="auto"/>
        <w:rPr/>
      </w:pPr>
      <w:r w:rsidDel="00000000" w:rsidR="00000000" w:rsidRPr="00000000">
        <w:rPr>
          <w:rtl w:val="0"/>
        </w:rPr>
        <w:t xml:space="preserve">For device ii during epoch kk:</w:t>
      </w:r>
    </w:p>
    <w:p w:rsidR="00000000" w:rsidDel="00000000" w:rsidP="00000000" w:rsidRDefault="00000000" w:rsidRPr="00000000" w14:paraId="0000005B">
      <w:pPr>
        <w:rPr/>
      </w:pPr>
      <w:r w:rsidDel="00000000" w:rsidR="00000000" w:rsidRPr="00000000">
        <w:rPr>
          <w:rtl w:val="0"/>
        </w:rPr>
        <w:t xml:space="preserve">ri,k=MerkleRoot⁡(hi,k,1,hi,k,2,…,hi,k,n).r_{i,k}= \operatorname{MerkleRoot} \left( h_{i,k,1},h_{i,k,2},\ldots,h_{i,k,n} \right).</w:t>
      </w:r>
    </w:p>
    <w:p w:rsidR="00000000" w:rsidDel="00000000" w:rsidP="00000000" w:rsidRDefault="00000000" w:rsidRPr="00000000" w14:paraId="0000005C">
      <w:pPr>
        <w:spacing w:after="240" w:before="240" w:lineRule="auto"/>
        <w:rPr/>
      </w:pPr>
      <w:r w:rsidDel="00000000" w:rsidR="00000000" w:rsidRPr="00000000">
        <w:rPr>
          <w:rtl w:val="0"/>
        </w:rPr>
        <w:t xml:space="preserve">The signed device checkpoint is: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Γi,k=Sign⁡ski(i∥k∥ri,k∥ri,k−1∥νi∥τk),\Gamma_{i,k} = \operatorname{Sign}_{sk_i} \left( i\parallel k\parallel r_{i,k}\parallel r_{i,k-1} \parallel \nu_i\parallel \tau_k \right),</w:t>
      </w:r>
    </w:p>
    <w:p w:rsidR="00000000" w:rsidDel="00000000" w:rsidP="00000000" w:rsidRDefault="00000000" w:rsidRPr="00000000" w14:paraId="0000005E">
      <w:pPr>
        <w:spacing w:after="240" w:before="240" w:lineRule="auto"/>
        <w:rPr/>
      </w:pPr>
      <w:r w:rsidDel="00000000" w:rsidR="00000000" w:rsidRPr="00000000">
        <w:rPr>
          <w:rtl w:val="0"/>
        </w:rPr>
        <w:t xml:space="preserve">where νi\nu_i binds firmware, model, schema, calibration, and policy versions.</w:t>
      </w:r>
    </w:p>
    <w:p w:rsidR="00000000" w:rsidDel="00000000" w:rsidP="00000000" w:rsidRDefault="00000000" w:rsidRPr="00000000" w14:paraId="0000005F">
      <w:pPr>
        <w:spacing w:after="240" w:before="240" w:lineRule="auto"/>
        <w:rPr/>
      </w:pPr>
      <w:r w:rsidDel="00000000" w:rsidR="00000000" w:rsidRPr="00000000">
        <w:rPr>
          <w:rtl w:val="0"/>
        </w:rPr>
        <w:t xml:space="preserve">A deployment-level checkpoint can then be formed from multiple node roots:</w:t>
      </w:r>
    </w:p>
    <w:p w:rsidR="00000000" w:rsidDel="00000000" w:rsidP="00000000" w:rsidRDefault="00000000" w:rsidRPr="00000000" w14:paraId="00000060">
      <w:pPr>
        <w:rPr/>
      </w:pPr>
      <w:r w:rsidDel="00000000" w:rsidR="00000000" w:rsidRPr="00000000">
        <w:rPr>
          <w:rtl w:val="0"/>
        </w:rPr>
        <w:t xml:space="preserve">Rk=MerkleRoot⁡(r1,k,r2,k,…,rN,k).R_k= \operatorname{MerkleRoot} \left( r_{1,k},r_{2,k},\ldots,r_{N,k} \right).</w:t>
      </w:r>
    </w:p>
    <w:p w:rsidR="00000000" w:rsidDel="00000000" w:rsidP="00000000" w:rsidRDefault="00000000" w:rsidRPr="00000000" w14:paraId="00000061">
      <w:pPr>
        <w:spacing w:after="240" w:before="240" w:lineRule="auto"/>
        <w:rPr/>
      </w:pPr>
      <w:r w:rsidDel="00000000" w:rsidR="00000000" w:rsidRPr="00000000">
        <w:rPr>
          <w:rtl w:val="0"/>
        </w:rPr>
        <w:t xml:space="preserve">This permits an auditor to verify an individual measurement using a compact inclusion path rather than downloading an entire device history.</w:t>
      </w:r>
    </w:p>
    <w:p w:rsidR="00000000" w:rsidDel="00000000" w:rsidP="00000000" w:rsidRDefault="00000000" w:rsidRPr="00000000" w14:paraId="00000062">
      <w:pPr>
        <w:spacing w:after="240" w:before="240" w:lineRule="auto"/>
        <w:rPr/>
      </w:pPr>
      <w:r w:rsidDel="00000000" w:rsidR="00000000" w:rsidRPr="00000000">
        <w:rPr>
          <w:rtl w:val="0"/>
        </w:rPr>
        <w:t xml:space="preserve">Bitcoin’s whitepaper establishes the relevant peer-node, SHA-256, Merkle-tree, chain-verification, and compact-proof patterns. (</w:t>
      </w:r>
      <w:hyperlink r:id="rId7">
        <w:r w:rsidDel="00000000" w:rsidR="00000000" w:rsidRPr="00000000">
          <w:rPr>
            <w:color w:val="1155cc"/>
            <w:u w:val="single"/>
            <w:rtl w:val="0"/>
          </w:rPr>
          <w:t xml:space="preserve">Bitcoin</w:t>
        </w:r>
      </w:hyperlink>
      <w:r w:rsidDel="00000000" w:rsidR="00000000" w:rsidRPr="00000000">
        <w:rPr>
          <w:rtl w:val="0"/>
        </w:rPr>
        <w:t xml:space="preserve">) The public NLM repository already contains SHA-256 hashes, parent-linked frame roots, lineage validation, binary Merkle trees, and inclusion-proof verification.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djos42plrer" w:id="7"/>
      <w:bookmarkEnd w:id="7"/>
      <w:r w:rsidDel="00000000" w:rsidR="00000000" w:rsidRPr="00000000">
        <w:rPr>
          <w:b w:val="1"/>
          <w:bCs w:val="1"/>
          <w:color w:val="000000"/>
          <w:sz w:val="26"/>
          <w:szCs w:val="26"/>
          <w:rtl w:val="0"/>
        </w:rPr>
        <w:t xml:space="preserve">Deliberate non-equivalence</w:t>
      </w:r>
    </w:p>
    <w:p w:rsidR="00000000" w:rsidDel="00000000" w:rsidP="00000000" w:rsidRDefault="00000000" w:rsidRPr="00000000" w14:paraId="00000064">
      <w:pPr>
        <w:spacing w:after="240" w:before="240" w:lineRule="auto"/>
        <w:rPr/>
      </w:pPr>
      <w:r w:rsidDel="00000000" w:rsidR="00000000" w:rsidRPr="00000000">
        <w:rPr>
          <w:rtl w:val="0"/>
        </w:rPr>
        <w:t xml:space="preserve">DIRTNet’s normal environmental operation does </w:t>
      </w:r>
      <w:r w:rsidDel="00000000" w:rsidR="00000000" w:rsidRPr="00000000">
        <w:rPr>
          <w:b w:val="1"/>
          <w:bCs w:val="1"/>
          <w:rtl w:val="0"/>
        </w:rPr>
        <w:t xml:space="preserve">not</w:t>
      </w:r>
      <w:r w:rsidDel="00000000" w:rsidR="00000000" w:rsidRPr="00000000">
        <w:rPr>
          <w:rtl w:val="0"/>
        </w:rPr>
        <w:t xml:space="preserve"> require:</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competitive proof-of-work;</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cryptocurrency issuance;</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anonymous permissionless write access;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financial consensus;</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wasteful mining races;</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global replication of every raw sample.</w:t>
      </w:r>
    </w:p>
    <w:p w:rsidR="00000000" w:rsidDel="00000000" w:rsidP="00000000" w:rsidRDefault="00000000" w:rsidRPr="00000000" w14:paraId="0000006B">
      <w:pPr>
        <w:spacing w:after="240" w:before="240" w:lineRule="auto"/>
        <w:rPr/>
      </w:pPr>
      <w:r w:rsidDel="00000000" w:rsidR="00000000" w:rsidRPr="00000000">
        <w:rPr>
          <w:rtl w:val="0"/>
        </w:rPr>
        <w:t xml:space="preserve">Instead, it uses authenticated nodes, signed records, deterministic validation, Merkle checkpoints, optional gateway/notary quorum, and—where useful—an external timestamp anchor.</w:t>
      </w:r>
    </w:p>
    <w:p w:rsidR="00000000" w:rsidDel="00000000" w:rsidP="00000000" w:rsidRDefault="00000000" w:rsidRPr="00000000" w14:paraId="0000006C">
      <w:pPr>
        <w:spacing w:after="240" w:before="240" w:lineRule="auto"/>
        <w:rPr/>
      </w:pPr>
      <w:r w:rsidDel="00000000" w:rsidR="00000000" w:rsidRPr="00000000">
        <w:rPr>
          <w:rtl w:val="0"/>
        </w:rPr>
        <w:t xml:space="preserve">That distinction is explicit throughout the updated documents.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xrcdi2xe5nne" w:id="8"/>
      <w:bookmarkEnd w:id="8"/>
      <w:r w:rsidDel="00000000" w:rsidR="00000000" w:rsidRPr="00000000">
        <w:rPr>
          <w:b w:val="1"/>
          <w:bCs w:val="1"/>
          <w:sz w:val="34"/>
          <w:szCs w:val="34"/>
          <w:rtl w:val="0"/>
        </w:rPr>
        <w:t xml:space="preserve">Mycorrhizae is the biological-to-compute protocol</w:t>
      </w:r>
    </w:p>
    <w:p w:rsidR="00000000" w:rsidDel="00000000" w:rsidP="00000000" w:rsidRDefault="00000000" w:rsidRPr="00000000" w14:paraId="0000006F">
      <w:pPr>
        <w:spacing w:after="240" w:before="240" w:lineRule="auto"/>
        <w:rPr/>
      </w:pPr>
      <w:r w:rsidDel="00000000" w:rsidR="00000000" w:rsidRPr="00000000">
        <w:rPr>
          <w:rtl w:val="0"/>
        </w:rPr>
        <w:t xml:space="preserve">Mycorrhizae is now defined at two linked levels.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gwdxgznr05x0" w:id="9"/>
      <w:bookmarkEnd w:id="9"/>
      <w:r w:rsidDel="00000000" w:rsidR="00000000" w:rsidRPr="00000000">
        <w:rPr>
          <w:b w:val="1"/>
          <w:bCs w:val="1"/>
          <w:color w:val="000000"/>
          <w:sz w:val="26"/>
          <w:szCs w:val="26"/>
          <w:rtl w:val="0"/>
        </w:rPr>
        <w:t xml:space="preserve">Implemented protocol layer</w:t>
      </w:r>
    </w:p>
    <w:p w:rsidR="00000000" w:rsidDel="00000000" w:rsidP="00000000" w:rsidRDefault="00000000" w:rsidRPr="00000000" w14:paraId="00000071">
      <w:pPr>
        <w:spacing w:after="240" w:before="240" w:lineRule="auto"/>
        <w:rPr/>
      </w:pPr>
      <w:r w:rsidDel="00000000" w:rsidR="00000000" w:rsidRPr="00000000">
        <w:rPr>
          <w:rtl w:val="0"/>
        </w:rPr>
        <w:t xml:space="preserve">The public repository documents: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channel-based publish/subscribe;</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scoped API keys and rate limiting;</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Redis-backed distributed streaming;</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persistent and ephemeral channels;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offline subscriber buffering;</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SSE delivery;</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HPL evaluation;</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MycoBrain, MINDEX, MYCA, and NatureOS integration.</w:t>
      </w:r>
    </w:p>
    <w:p w:rsidR="00000000" w:rsidDel="00000000" w:rsidP="00000000" w:rsidRDefault="00000000" w:rsidRPr="00000000" w14:paraId="0000007A">
      <w:pPr>
        <w:spacing w:after="240" w:before="240" w:lineRule="auto"/>
        <w:rPr/>
      </w:pPr>
      <w:r w:rsidDel="00000000" w:rsidR="00000000" w:rsidRPr="00000000">
        <w:rPr>
          <w:rtl w:val="0"/>
        </w:rPr>
        <w:t xml:space="preserve">The more detailed protocol overview identifies routing, authentication, Redis streaming, basic HPL, and SSE as complete. It identifies full FCI normalization and the NatureOS bridge as still in progress, and bidirectional fungal I/O and learned biological pattern recognition as planned.</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6mymtuhdijv" w:id="10"/>
      <w:bookmarkEnd w:id="10"/>
      <w:r w:rsidDel="00000000" w:rsidR="00000000" w:rsidRPr="00000000">
        <w:rPr>
          <w:b w:val="1"/>
          <w:bCs w:val="1"/>
          <w:color w:val="000000"/>
          <w:sz w:val="26"/>
          <w:szCs w:val="26"/>
          <w:rtl w:val="0"/>
        </w:rPr>
        <w:t xml:space="preserve">Biological-to-compute algorithm</w:t>
      </w:r>
    </w:p>
    <w:p w:rsidR="00000000" w:rsidDel="00000000" w:rsidP="00000000" w:rsidRDefault="00000000" w:rsidRPr="00000000" w14:paraId="0000007C">
      <w:pPr>
        <w:spacing w:after="240" w:before="240" w:lineRule="auto"/>
        <w:rPr/>
      </w:pPr>
      <w:r w:rsidDel="00000000" w:rsidR="00000000" w:rsidRPr="00000000">
        <w:rPr>
          <w:rtl w:val="0"/>
        </w:rPr>
        <w:t xml:space="preserve">For fungal bioelectric observations btb_t, calibration state κt\kappa_t, environmental context ctc_t, and quality qtq_t:</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b~t=Calibrate⁡(Filter⁡(bt),κt),\tilde b_t = \operatorname{Calibrate} \left( \operatorname{Filter}(b_t),\kappa_t \right), ztFCI=EFCI(b~t−L:t,ct,qt,u1:t),z_t^{FCI} = E_{FCI} \left( \tilde b_{t-L:t}, c_t, q_t, u_{1:t} \right),</w:t>
      </w:r>
    </w:p>
    <w:p w:rsidR="00000000" w:rsidDel="00000000" w:rsidP="00000000" w:rsidRDefault="00000000" w:rsidRPr="00000000" w14:paraId="0000007E">
      <w:pPr>
        <w:spacing w:after="240" w:before="240" w:lineRule="auto"/>
        <w:rPr/>
      </w:pPr>
      <w:r w:rsidDel="00000000" w:rsidR="00000000" w:rsidRPr="00000000">
        <w:rPr>
          <w:rtl w:val="0"/>
        </w:rPr>
        <w:t xml:space="preserve">where u1:tu_{1:t} is controlled stimulation history.</w:t>
      </w:r>
    </w:p>
    <w:p w:rsidR="00000000" w:rsidDel="00000000" w:rsidP="00000000" w:rsidRDefault="00000000" w:rsidRPr="00000000" w14:paraId="0000007F">
      <w:pPr>
        <w:spacing w:after="240" w:before="240" w:lineRule="auto"/>
        <w:rPr/>
      </w:pPr>
      <w:r w:rsidDel="00000000" w:rsidR="00000000" w:rsidRPr="00000000">
        <w:rPr>
          <w:rtl w:val="0"/>
        </w:rPr>
        <w:t xml:space="preserve">NLM estimates:</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pθ(st∣z1:tFCI,z1:tchemical,z1:tthermal,z1:tspectral,c1:t).p_\theta \left( s_t\mid z_{1:t}^{FCI}, z_{1:t}^{chemical}, z_{1:t}^{thermal}, z_{1:t}^{spectral}, c_{1:t} \right).</w:t>
      </w:r>
    </w:p>
    <w:p w:rsidR="00000000" w:rsidDel="00000000" w:rsidP="00000000" w:rsidRDefault="00000000" w:rsidRPr="00000000" w14:paraId="00000081">
      <w:pPr>
        <w:spacing w:after="240" w:before="240" w:lineRule="auto"/>
        <w:rPr/>
      </w:pPr>
      <w:r w:rsidDel="00000000" w:rsidR="00000000" w:rsidRPr="00000000">
        <w:rPr>
          <w:rtl w:val="0"/>
        </w:rPr>
        <w:t xml:space="preserve">The node then creates a structured event:</w:t>
      </w:r>
    </w:p>
    <w:p w:rsidR="00000000" w:rsidDel="00000000" w:rsidP="00000000" w:rsidRDefault="00000000" w:rsidRPr="00000000" w14:paraId="00000082">
      <w:pPr>
        <w:rPr/>
      </w:pPr>
      <w:r w:rsidDel="00000000" w:rsidR="00000000" w:rsidRPr="00000000">
        <w:rPr>
          <w:rtl w:val="0"/>
        </w:rPr>
        <w:t xml:space="preserve">et=(s^t, Ut, At, Et, Vt),e_t= \left( \hat s_t,\, U_t,\, A_t,\, E_t,\, V_t \right),</w:t>
      </w:r>
    </w:p>
    <w:p w:rsidR="00000000" w:rsidDel="00000000" w:rsidP="00000000" w:rsidRDefault="00000000" w:rsidRPr="00000000" w14:paraId="00000083">
      <w:pPr>
        <w:spacing w:after="240" w:before="240" w:lineRule="auto"/>
        <w:rPr/>
      </w:pPr>
      <w:r w:rsidDel="00000000" w:rsidR="00000000" w:rsidRPr="00000000">
        <w:rPr>
          <w:rtl w:val="0"/>
        </w:rPr>
        <w:t xml:space="preserve">containing state, uncertainty, anomaly, supporting evidence, and validity horizon. That event is signed, Merkle-rooted, routed through Mycorrhizae, synchronized over DIRTNet, and persisted in MINDEX.</w:t>
      </w:r>
    </w:p>
    <w:p w:rsidR="00000000" w:rsidDel="00000000" w:rsidP="00000000" w:rsidRDefault="00000000" w:rsidRPr="00000000" w14:paraId="00000084">
      <w:pPr>
        <w:spacing w:after="240" w:before="240" w:lineRule="auto"/>
        <w:rPr/>
      </w:pPr>
      <w:r w:rsidDel="00000000" w:rsidR="00000000" w:rsidRPr="00000000">
        <w:rPr>
          <w:rtl w:val="0"/>
        </w:rPr>
        <w:t xml:space="preserve">This makes the fungal biomass a measurable component of a hybrid biological–silicon experiment. It does </w:t>
      </w:r>
      <w:r w:rsidDel="00000000" w:rsidR="00000000" w:rsidRPr="00000000">
        <w:rPr>
          <w:b w:val="1"/>
          <w:bCs w:val="1"/>
          <w:rtl w:val="0"/>
        </w:rPr>
        <w:t xml:space="preserve">not</w:t>
      </w:r>
      <w:r w:rsidDel="00000000" w:rsidR="00000000" w:rsidRPr="00000000">
        <w:rPr>
          <w:rtl w:val="0"/>
        </w:rPr>
        <w:t xml:space="preserve"> presume that recurring fungal signals have already been decoded as language. The FCI and global-symbiosis sources establish the scientific hypothesis and required interface, while the revised package defines the falsifiable computational path.</w:t>
      </w:r>
    </w:p>
    <w:p w:rsidR="00000000" w:rsidDel="00000000" w:rsidP="00000000" w:rsidRDefault="00000000" w:rsidRPr="00000000" w14:paraId="00000085">
      <w:pPr>
        <w:spacing w:after="240" w:before="240" w:lineRule="auto"/>
        <w:rPr/>
      </w:pPr>
      <w:r w:rsidDel="00000000" w:rsidR="00000000" w:rsidRPr="00000000">
        <w:rPr>
          <w:rtl w:val="0"/>
        </w:rPr>
        <w:t xml:space="preserve">Biological-to-compute architecture graphic</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2ie5ix2j6kzu" w:id="11"/>
      <w:bookmarkEnd w:id="11"/>
      <w:r w:rsidDel="00000000" w:rsidR="00000000" w:rsidRPr="00000000">
        <w:rPr>
          <w:b w:val="1"/>
          <w:bCs w:val="1"/>
          <w:sz w:val="34"/>
          <w:szCs w:val="34"/>
          <w:rtl w:val="0"/>
        </w:rPr>
        <w:t xml:space="preserve">BlueSight, SINE, GANDHA, and FCI</w:t>
      </w:r>
    </w:p>
    <w:p w:rsidR="00000000" w:rsidDel="00000000" w:rsidP="00000000" w:rsidRDefault="00000000" w:rsidRPr="00000000" w14:paraId="00000088">
      <w:pPr>
        <w:spacing w:after="240" w:before="240" w:lineRule="auto"/>
        <w:rPr/>
      </w:pPr>
      <w:r w:rsidDel="00000000" w:rsidR="00000000" w:rsidRPr="00000000">
        <w:rPr>
          <w:rtl w:val="0"/>
        </w:rPr>
        <w:t xml:space="preserve">The sensing systems are now represented as explicit DIRTNet services rather than generic NLM modalities.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9lfw55u427" w:id="12"/>
      <w:bookmarkEnd w:id="12"/>
      <w:r w:rsidDel="00000000" w:rsidR="00000000" w:rsidRPr="00000000">
        <w:rPr>
          <w:b w:val="1"/>
          <w:bCs w:val="1"/>
          <w:color w:val="000000"/>
          <w:sz w:val="26"/>
          <w:szCs w:val="26"/>
          <w:rtl w:val="0"/>
        </w:rPr>
        <w:t xml:space="preserve">BlueSight</w:t>
      </w:r>
    </w:p>
    <w:p w:rsidR="00000000" w:rsidDel="00000000" w:rsidP="00000000" w:rsidRDefault="00000000" w:rsidRPr="00000000" w14:paraId="0000008A">
      <w:pPr>
        <w:spacing w:after="240" w:before="240" w:lineRule="auto"/>
        <w:rPr/>
      </w:pPr>
      <w:r w:rsidDel="00000000" w:rsidR="00000000" w:rsidRPr="00000000">
        <w:rPr>
          <w:rtl w:val="0"/>
        </w:rPr>
        <w:t xml:space="preserve">BlueSight is the visual and spatial evidence service:</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rtl w:val="0"/>
        </w:rPr>
        <w:t xml:space="preserve">panoramic and directional vision;</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controlled blue-light biological observation;</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high-resolution tiled imagery;</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object detection, segmentation, and tracking;</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LiDAR, radar, geometry, and motion;</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WiFiSense-derived spatial context;</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local embeddings and evidence-frame selection.</w:t>
      </w:r>
    </w:p>
    <w:p w:rsidR="00000000" w:rsidDel="00000000" w:rsidP="00000000" w:rsidRDefault="00000000" w:rsidRPr="00000000" w14:paraId="00000092">
      <w:pPr>
        <w:spacing w:after="240" w:before="240" w:lineRule="auto"/>
        <w:rPr/>
      </w:pPr>
      <w:r w:rsidDel="00000000" w:rsidR="00000000" w:rsidRPr="00000000">
        <w:rPr>
          <w:rtl w:val="0"/>
        </w:rPr>
        <w:t xml:space="preserve">Each BlueSight inference binds image or spatial evidence to camera pose, calibration, model identity, confidence, uncertainty, and provenance. (</w:t>
      </w:r>
      <w:hyperlink r:id="rId8">
        <w:r w:rsidDel="00000000" w:rsidR="00000000" w:rsidRPr="00000000">
          <w:rPr>
            <w:color w:val="1155cc"/>
            <w:u w:val="single"/>
            <w:rtl w:val="0"/>
          </w:rPr>
          <w:t xml:space="preserve">Mycosoft</w:t>
        </w:r>
      </w:hyperlink>
      <w:r w:rsidDel="00000000" w:rsidR="00000000" w:rsidRPr="00000000">
        <w:rPr>
          <w:rtl w:val="0"/>
        </w:rPr>
        <w:t xml:space="preserv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gfqw54dkm3sh" w:id="13"/>
      <w:bookmarkEnd w:id="13"/>
      <w:r w:rsidDel="00000000" w:rsidR="00000000" w:rsidRPr="00000000">
        <w:rPr>
          <w:b w:val="1"/>
          <w:bCs w:val="1"/>
          <w:color w:val="000000"/>
          <w:sz w:val="26"/>
          <w:szCs w:val="26"/>
          <w:rtl w:val="0"/>
        </w:rPr>
        <w:t xml:space="preserve">SINE</w:t>
      </w:r>
    </w:p>
    <w:p w:rsidR="00000000" w:rsidDel="00000000" w:rsidP="00000000" w:rsidRDefault="00000000" w:rsidRPr="00000000" w14:paraId="00000094">
      <w:pPr>
        <w:spacing w:after="240" w:before="240" w:lineRule="auto"/>
        <w:rPr/>
      </w:pPr>
      <w:r w:rsidDel="00000000" w:rsidR="00000000" w:rsidRPr="00000000">
        <w:rPr>
          <w:rtl w:val="0"/>
        </w:rPr>
        <w:t xml:space="preserve">SINE is the acoustic service for water, air, ground, biological, vessel, machine, impulse-event, and unknown-sound analysis.</w:t>
      </w:r>
    </w:p>
    <w:p w:rsidR="00000000" w:rsidDel="00000000" w:rsidP="00000000" w:rsidRDefault="00000000" w:rsidRPr="00000000" w14:paraId="00000095">
      <w:pPr>
        <w:spacing w:after="240" w:before="240" w:lineRule="auto"/>
        <w:rPr/>
      </w:pPr>
      <w:r w:rsidDel="00000000" w:rsidR="00000000" w:rsidRPr="00000000">
        <w:rPr>
          <w:rtl w:val="0"/>
        </w:rPr>
        <w:t xml:space="preserve">The formal pipeline is:</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x(t)→DSP⁡(x)→zaudio→p(class∣z)→OOD(z)→prototype retrieval→cross-sensor fusion.x(t) \rightarrow \operatorname{DSP}(x) \rightarrow z^{audio} \rightarrow p(class\mid z) \rightarrow OOD(z) \rightarrow \text{prototype retrieval} \rightarrow \text{cross-sensor fusion}.</w:t>
      </w:r>
    </w:p>
    <w:p w:rsidR="00000000" w:rsidDel="00000000" w:rsidP="00000000" w:rsidRDefault="00000000" w:rsidRPr="00000000" w14:paraId="00000097">
      <w:pPr>
        <w:spacing w:after="240" w:before="240" w:lineRule="auto"/>
        <w:rPr/>
      </w:pPr>
      <w:r w:rsidDel="00000000" w:rsidR="00000000" w:rsidRPr="00000000">
        <w:rPr>
          <w:rtl w:val="0"/>
        </w:rPr>
        <w:t xml:space="preserve">The current public SINE workbench explicitly exposes a responsible maturity boundary: a semantic result remains pending when a trained model artifact and evidence-backed analysis window are absent. The package preserves that evidence gate instead of portraying the roadmap as a measured capability. (</w:t>
      </w:r>
      <w:hyperlink r:id="rId9">
        <w:r w:rsidDel="00000000" w:rsidR="00000000" w:rsidRPr="00000000">
          <w:rPr>
            <w:color w:val="1155cc"/>
            <w:u w:val="single"/>
            <w:rtl w:val="0"/>
          </w:rPr>
          <w:t xml:space="preserve">Mycosoft</w:t>
        </w:r>
      </w:hyperlink>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The maritime and acoustic training catalog remains a broad source registry for ambient hydrophones, vessels, marine biology, oceanography, AIS, bathymetry, models, sonar imagery, and processing software. It is not treated as proof that a trained model has achieved those capabilities.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3cpfk1dd0azb" w:id="14"/>
      <w:bookmarkEnd w:id="14"/>
      <w:r w:rsidDel="00000000" w:rsidR="00000000" w:rsidRPr="00000000">
        <w:rPr>
          <w:b w:val="1"/>
          <w:bCs w:val="1"/>
          <w:color w:val="000000"/>
          <w:sz w:val="26"/>
          <w:szCs w:val="26"/>
          <w:rtl w:val="0"/>
        </w:rPr>
        <w:t xml:space="preserve">GANDHA</w:t>
      </w:r>
    </w:p>
    <w:p w:rsidR="00000000" w:rsidDel="00000000" w:rsidP="00000000" w:rsidRDefault="00000000" w:rsidRPr="00000000" w14:paraId="0000009A">
      <w:pPr>
        <w:spacing w:after="240" w:before="240" w:lineRule="auto"/>
        <w:rPr/>
      </w:pPr>
      <w:r w:rsidDel="00000000" w:rsidR="00000000" w:rsidRPr="00000000">
        <w:rPr>
          <w:rtl w:val="0"/>
        </w:rPr>
        <w:t xml:space="preserve">GANDHA is the chemical, odor, gas, and particle service:</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rtl w:val="0"/>
        </w:rPr>
        <w:t xml:space="preserve">VOC and VSC response vectors;</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gas-heater profiles;</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CO₂ and environmental gas context;</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BME680/688/690-class sensing;</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BMV080 and related particle sensing;</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humidity, temperature, pressure, airflow, and device-age compensation;</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sensor-drift monitoring;</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local chemical fingerprints and prototype libraries. (</w:t>
      </w:r>
      <w:hyperlink r:id="rId10">
        <w:r w:rsidDel="00000000" w:rsidR="00000000" w:rsidRPr="00000000">
          <w:rPr>
            <w:color w:val="1155cc"/>
            <w:u w:val="single"/>
            <w:rtl w:val="0"/>
          </w:rPr>
          <w:t xml:space="preserve">Mycosoft</w:t>
        </w:r>
      </w:hyperlink>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Multisensory DIRTNet edge-stack graphic</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qcka1loj24i2" w:id="15"/>
      <w:bookmarkEnd w:id="15"/>
      <w:r w:rsidDel="00000000" w:rsidR="00000000" w:rsidRPr="00000000">
        <w:rPr>
          <w:b w:val="1"/>
          <w:bCs w:val="1"/>
          <w:sz w:val="34"/>
          <w:szCs w:val="34"/>
          <w:rtl w:val="0"/>
        </w:rPr>
        <w:t xml:space="preserve">NatureOS and FUSARIUM</w:t>
      </w:r>
    </w:p>
    <w:p w:rsidR="00000000" w:rsidDel="00000000" w:rsidP="00000000" w:rsidRDefault="00000000" w:rsidRPr="00000000" w14:paraId="000000A6">
      <w:pPr>
        <w:spacing w:after="240" w:before="240" w:lineRule="auto"/>
        <w:rPr/>
      </w:pPr>
      <w:r w:rsidDel="00000000" w:rsidR="00000000" w:rsidRPr="00000000">
        <w:rPr>
          <w:rtl w:val="0"/>
        </w:rPr>
        <w:t xml:space="preserve">The platforms are included as customer-access surfaces without allowing platform branding to dominate the scientific architecture.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NatureOS</w:t>
      </w:r>
      <w:r w:rsidDel="00000000" w:rsidR="00000000" w:rsidRPr="00000000">
        <w:rPr>
          <w:rtl w:val="0"/>
        </w:rPr>
        <w:t xml:space="preserve"> is the civilian and scientific surface for devices, model training, experiments, environmental monitoring, Earth simulation, APIs, reproducibility, and research workflows.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FUSARIUM</w:t>
      </w:r>
      <w:r w:rsidDel="00000000" w:rsidR="00000000" w:rsidRPr="00000000">
        <w:rPr>
          <w:rtl w:val="0"/>
        </w:rPr>
        <w:t xml:space="preserve"> is the defense surface for operational environmental intelligence, CREP mission context, classification-aware handling, chain of custody, alerts, patterns, links, map products, and analyst artifacts.</w:t>
      </w:r>
    </w:p>
    <w:p w:rsidR="00000000" w:rsidDel="00000000" w:rsidP="00000000" w:rsidRDefault="00000000" w:rsidRPr="00000000" w14:paraId="000000A9">
      <w:pPr>
        <w:spacing w:after="240" w:before="240" w:lineRule="auto"/>
        <w:rPr/>
      </w:pPr>
      <w:r w:rsidDel="00000000" w:rsidR="00000000" w:rsidRPr="00000000">
        <w:rPr>
          <w:rtl w:val="0"/>
        </w:rPr>
        <w:t xml:space="preserve">They share the same DIRTNet evidence roots, NLM state products, MINDEX lineage, MYCA orchestration, and AVANI controls, but apply different access, retention, policy, presentation, and export rules. (</w:t>
      </w:r>
      <w:hyperlink r:id="rId11">
        <w:r w:rsidDel="00000000" w:rsidR="00000000" w:rsidRPr="00000000">
          <w:rPr>
            <w:color w:val="1155cc"/>
            <w:u w:val="single"/>
            <w:rtl w:val="0"/>
          </w:rPr>
          <w:t xml:space="preserve">Mycosoft</w:t>
        </w:r>
      </w:hyperlink>
      <w:r w:rsidDel="00000000" w:rsidR="00000000" w:rsidRPr="00000000">
        <w:rPr>
          <w:rtl w:val="0"/>
        </w:rPr>
        <w:t xml:space="preserve">) The FUSARIUM source materials already define observation-to-assessment-to-intelligence-product flow using SHA-256/Merkle lineage.</w:t>
      </w:r>
    </w:p>
    <w:p w:rsidR="00000000" w:rsidDel="00000000" w:rsidP="00000000" w:rsidRDefault="00000000" w:rsidRPr="00000000" w14:paraId="000000AA">
      <w:pPr>
        <w:spacing w:after="240" w:before="240" w:lineRule="auto"/>
        <w:rPr/>
      </w:pPr>
      <w:r w:rsidDel="00000000" w:rsidR="00000000" w:rsidRPr="00000000">
        <w:rPr>
          <w:rtl w:val="0"/>
        </w:rPr>
        <w:t xml:space="preserve">Platform-surfaces graphic</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4e87838tn296" w:id="16"/>
      <w:bookmarkEnd w:id="16"/>
      <w:r w:rsidDel="00000000" w:rsidR="00000000" w:rsidRPr="00000000">
        <w:rPr>
          <w:b w:val="1"/>
          <w:bCs w:val="1"/>
          <w:sz w:val="34"/>
          <w:szCs w:val="34"/>
          <w:rtl w:val="0"/>
        </w:rPr>
        <w:t xml:space="preserve">NVIDIA physical-AI context</w:t>
      </w:r>
    </w:p>
    <w:p w:rsidR="00000000" w:rsidDel="00000000" w:rsidP="00000000" w:rsidRDefault="00000000" w:rsidRPr="00000000" w14:paraId="000000AD">
      <w:pPr>
        <w:spacing w:after="240" w:before="240" w:lineRule="auto"/>
        <w:rPr/>
      </w:pPr>
      <w:r w:rsidDel="00000000" w:rsidR="00000000" w:rsidRPr="00000000">
        <w:rPr>
          <w:rtl w:val="0"/>
        </w:rPr>
        <w:t xml:space="preserve">The revised architecture incorporates NVIDIA’s July 2026 physical-AI announcements as an interoperability reference.</w:t>
      </w:r>
    </w:p>
    <w:p w:rsidR="00000000" w:rsidDel="00000000" w:rsidP="00000000" w:rsidRDefault="00000000" w:rsidRPr="00000000" w14:paraId="000000AE">
      <w:pPr>
        <w:spacing w:after="240" w:before="240" w:lineRule="auto"/>
        <w:rPr/>
      </w:pPr>
      <w:r w:rsidDel="00000000" w:rsidR="00000000" w:rsidRPr="00000000">
        <w:rPr>
          <w:rtl w:val="0"/>
        </w:rPr>
        <w:t xml:space="preserve">NVIDIA announced </w:t>
      </w:r>
      <w:r w:rsidDel="00000000" w:rsidR="00000000" w:rsidRPr="00000000">
        <w:rPr>
          <w:b w:val="1"/>
          <w:bCs w:val="1"/>
          <w:rtl w:val="0"/>
        </w:rPr>
        <w:t xml:space="preserve">Cosmos 3 Edge on July 15, 2026</w:t>
      </w:r>
      <w:r w:rsidDel="00000000" w:rsidR="00000000" w:rsidRPr="00000000">
        <w:rPr>
          <w:rtl w:val="0"/>
        </w:rPr>
        <w:t xml:space="preserve">, describing a 4-billion-parameter on-device model for visual reasoning and robot action on Jetson-class systems. On </w:t>
      </w:r>
      <w:r w:rsidDel="00000000" w:rsidR="00000000" w:rsidRPr="00000000">
        <w:rPr>
          <w:b w:val="1"/>
          <w:bCs w:val="1"/>
          <w:rtl w:val="0"/>
        </w:rPr>
        <w:t xml:space="preserve">July 16, 2026</w:t>
      </w:r>
      <w:r w:rsidDel="00000000" w:rsidR="00000000" w:rsidRPr="00000000">
        <w:rPr>
          <w:rtl w:val="0"/>
        </w:rPr>
        <w:t xml:space="preserve">, NVIDIA announced a Japanese national physical-AI infrastructure spanning multimodal models, agents, digital twins, robotics, and physical-world AI. (</w:t>
      </w:r>
      <w:hyperlink r:id="rId12">
        <w:r w:rsidDel="00000000" w:rsidR="00000000" w:rsidRPr="00000000">
          <w:rPr>
            <w:color w:val="1155cc"/>
            <w:u w:val="single"/>
            <w:rtl w:val="0"/>
          </w:rPr>
          <w:t xml:space="preserve">NVIDIA Newsroom</w:t>
        </w:r>
      </w:hyperlink>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The document’s positioning is deliberately complementary:</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rtl w:val="0"/>
        </w:rPr>
        <w:t xml:space="preserve">Jetson, TensorRT, Metropolis, Cosmos, Isaac, and GR00T can serve as optional high-tier DIRTNet modules.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BlueSight can use NVIDIA visual reasoning and perception.</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robotic platforms can use NVIDIA action policies and simulation.</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DIRTNet provides the persistent multisensory network, intermittent transport, decentralized memory, cryptographic evidence, and fleet synchronization.</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NLM provides the cross-modal Earth-state model.</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FCI and Mycorrhizae provide the biological signal interface.</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MINDEX provides evidence lineage.</w:t>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rtl w:val="0"/>
        </w:rPr>
        <w:t xml:space="preserve">AVANI governs action.</w:t>
      </w:r>
    </w:p>
    <w:p w:rsidR="00000000" w:rsidDel="00000000" w:rsidP="00000000" w:rsidRDefault="00000000" w:rsidRPr="00000000" w14:paraId="000000B8">
      <w:pPr>
        <w:spacing w:after="240" w:before="240" w:lineRule="auto"/>
        <w:rPr/>
      </w:pPr>
      <w:r w:rsidDel="00000000" w:rsidR="00000000" w:rsidRPr="00000000">
        <w:rPr>
          <w:rtl w:val="0"/>
        </w:rPr>
        <w:t xml:space="preserve">The package does not imply a partnership or claim that Mycosoft and NVIDIA have implemented equivalent systems.</w:t>
      </w:r>
    </w:p>
    <w:p w:rsidR="00000000" w:rsidDel="00000000" w:rsidP="00000000" w:rsidRDefault="00000000" w:rsidRPr="00000000" w14:paraId="000000B9">
      <w:pPr>
        <w:spacing w:after="240" w:before="240" w:lineRule="auto"/>
        <w:rPr/>
      </w:pPr>
      <w:r w:rsidDel="00000000" w:rsidR="00000000" w:rsidRPr="00000000">
        <w:rPr>
          <w:rtl w:val="0"/>
        </w:rPr>
        <w:t xml:space="preserve">NVIDIA–DIRTNet interoperability graphic</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6oqxak9xtl1m" w:id="17"/>
      <w:bookmarkEnd w:id="17"/>
      <w:r w:rsidDel="00000000" w:rsidR="00000000" w:rsidRPr="00000000">
        <w:rPr>
          <w:b w:val="1"/>
          <w:bCs w:val="1"/>
          <w:sz w:val="34"/>
          <w:szCs w:val="34"/>
          <w:rtl w:val="0"/>
        </w:rPr>
        <w:t xml:space="preserve">ITDX26: DIRTNet without bringing hardware</w:t>
      </w:r>
    </w:p>
    <w:p w:rsidR="00000000" w:rsidDel="00000000" w:rsidP="00000000" w:rsidRDefault="00000000" w:rsidRPr="00000000" w14:paraId="000000BC">
      <w:pPr>
        <w:spacing w:after="240" w:before="240" w:lineRule="auto"/>
        <w:rPr/>
      </w:pPr>
      <w:r w:rsidDel="00000000" w:rsidR="00000000" w:rsidRPr="00000000">
        <w:rPr>
          <w:rtl w:val="0"/>
        </w:rPr>
        <w:t xml:space="preserve">The ITDX26 plan retains the algorithm-only constraint from the Army handoff: no field hardware is required; the experiment is to develop and demonstrate algorithms on unclassified open systems.</w:t>
      </w:r>
    </w:p>
    <w:p w:rsidR="00000000" w:rsidDel="00000000" w:rsidP="00000000" w:rsidRDefault="00000000" w:rsidRPr="00000000" w14:paraId="000000BD">
      <w:pPr>
        <w:spacing w:after="240" w:before="240" w:lineRule="auto"/>
        <w:rPr/>
      </w:pPr>
      <w:r w:rsidDel="00000000" w:rsidR="00000000" w:rsidRPr="00000000">
        <w:rPr>
          <w:rtl w:val="0"/>
        </w:rPr>
        <w:t xml:space="preserve">The new DIRTNet study emulates a field network on one or two laptops:</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Virtual MycoBrain nodes</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BlueSight/SINE/GANDHA/FCI replay</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local NLM inference</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Mycorrhizae channels</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LoRa/LoRaWAN/Meshtastic/Wi-Fi/LTE link emulation</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delay/loss/partition/bandwidth models</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signed evidence records</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local Merkle epochs</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store-and-forward queues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anti-entropy reconciliation</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MINDEX federated checkpoint</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decentralized Task 12 pattern detection</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distributed Task 13 link analysis</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MYCA Task 8 synthesis</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AVANI release gate</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NatureOS/FUSARIUM product rendering</w:t>
      </w:r>
    </w:p>
    <w:p w:rsidR="00000000" w:rsidDel="00000000" w:rsidP="00000000" w:rsidRDefault="00000000" w:rsidRPr="00000000" w14:paraId="000000CE">
      <w:pPr>
        <w:spacing w:after="240" w:before="240" w:lineRule="auto"/>
        <w:rPr/>
      </w:pPr>
      <w:r w:rsidDel="00000000" w:rsidR="00000000" w:rsidRPr="00000000">
        <w:rPr>
          <w:color w:val="188038"/>
          <w:rtl w:val="0"/>
        </w:rPr>
        <w:t xml:space="preserve"></w:t>
      </w:r>
      <w:r w:rsidDel="00000000" w:rsidR="00000000" w:rsidRPr="00000000">
        <w:rPr>
          <w:rtl w:val="0"/>
        </w:rPr>
        <w:t xml:space="preserve">The experiment compares:</w:t>
      </w:r>
    </w:p>
    <w:p w:rsidR="00000000" w:rsidDel="00000000" w:rsidP="00000000" w:rsidRDefault="00000000" w:rsidRPr="00000000" w14:paraId="000000CF">
      <w:pPr>
        <w:numPr>
          <w:ilvl w:val="0"/>
          <w:numId w:val="9"/>
        </w:numPr>
        <w:spacing w:after="0" w:afterAutospacing="0" w:before="240" w:lineRule="auto"/>
        <w:ind w:left="720" w:hanging="360"/>
      </w:pPr>
      <w:r w:rsidDel="00000000" w:rsidR="00000000" w:rsidRPr="00000000">
        <w:rPr>
          <w:rtl w:val="0"/>
        </w:rPr>
        <w:t xml:space="preserve">centralized raw-stream processing;</w:t>
      </w:r>
    </w:p>
    <w:p w:rsidR="00000000" w:rsidDel="00000000" w:rsidP="00000000" w:rsidRDefault="00000000" w:rsidRPr="00000000" w14:paraId="000000D0">
      <w:pPr>
        <w:numPr>
          <w:ilvl w:val="0"/>
          <w:numId w:val="9"/>
        </w:numPr>
        <w:spacing w:after="0" w:afterAutospacing="0" w:before="0" w:beforeAutospacing="0" w:lineRule="auto"/>
        <w:ind w:left="720" w:hanging="360"/>
      </w:pPr>
      <w:r w:rsidDel="00000000" w:rsidR="00000000" w:rsidRPr="00000000">
        <w:rPr>
          <w:rtl w:val="0"/>
        </w:rPr>
        <w:t xml:space="preserve">edge feature extraction without cryptographic provenance;</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signed DIRTNet edge events;</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signed events plus partition reconciliation;</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signed events plus federated learning;</w:t>
      </w:r>
    </w:p>
    <w:p w:rsidR="00000000" w:rsidDel="00000000" w:rsidP="00000000" w:rsidRDefault="00000000" w:rsidRPr="00000000" w14:paraId="000000D4">
      <w:pPr>
        <w:numPr>
          <w:ilvl w:val="0"/>
          <w:numId w:val="9"/>
        </w:numPr>
        <w:spacing w:after="240" w:before="0" w:beforeAutospacing="0" w:lineRule="auto"/>
        <w:ind w:left="720" w:hanging="360"/>
      </w:pPr>
      <w:r w:rsidDel="00000000" w:rsidR="00000000" w:rsidRPr="00000000">
        <w:rPr>
          <w:rtl w:val="0"/>
        </w:rPr>
        <w:t xml:space="preserve">full DIRTNet with MYCA and AVANI.</w:t>
      </w:r>
    </w:p>
    <w:p w:rsidR="00000000" w:rsidDel="00000000" w:rsidP="00000000" w:rsidRDefault="00000000" w:rsidRPr="00000000" w14:paraId="000000D5">
      <w:pPr>
        <w:spacing w:after="240" w:before="240" w:lineRule="auto"/>
        <w:rPr/>
      </w:pPr>
      <w:r w:rsidDel="00000000" w:rsidR="00000000" w:rsidRPr="00000000">
        <w:rPr>
          <w:rtl w:val="0"/>
        </w:rPr>
        <w:t xml:space="preserve">Metrics include detection quality, link quality, calibration, bytes transmitted, energy proxy, queue growth, proof size, verification time, partition availability, convergence delay, duplicate suppression, checkpoint completeness, inference latency, and analyst-product quality.</w:t>
      </w:r>
    </w:p>
    <w:p w:rsidR="00000000" w:rsidDel="00000000" w:rsidP="00000000" w:rsidRDefault="00000000" w:rsidRPr="00000000" w14:paraId="000000D6">
      <w:pPr>
        <w:spacing w:after="240" w:before="240" w:lineRule="auto"/>
        <w:rPr/>
      </w:pPr>
      <w:r w:rsidDel="00000000" w:rsidR="00000000" w:rsidRPr="00000000">
        <w:rPr>
          <w:rtl w:val="0"/>
        </w:rPr>
        <w:t xml:space="preserve">ITDX26 virtual DIRTNet emulator graphic</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2uzt1s1dt974" w:id="18"/>
      <w:bookmarkEnd w:id="18"/>
      <w:r w:rsidDel="00000000" w:rsidR="00000000" w:rsidRPr="00000000">
        <w:rPr>
          <w:b w:val="1"/>
          <w:bCs w:val="1"/>
          <w:sz w:val="34"/>
          <w:szCs w:val="34"/>
          <w:rtl w:val="0"/>
        </w:rPr>
        <w:t xml:space="preserve">Machine-readable DIRTNet contracts</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Signed DIRTNet message schema</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DIRTNet node and capability manifest</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Merkle synchronization manifest</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Federated checkpoint schema</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ITDX26 DIRTNet emulator configuration</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Updated claim-status matrix</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rtl w:val="0"/>
        </w:rPr>
        <w:t xml:space="preserve">Complete 18-figure contact sheet</w:t>
      </w:r>
    </w:p>
    <w:p w:rsidR="00000000" w:rsidDel="00000000" w:rsidP="00000000" w:rsidRDefault="00000000" w:rsidRPr="00000000" w14:paraId="000000E0">
      <w:pPr>
        <w:spacing w:after="240" w:before="240" w:lineRule="auto"/>
        <w:rPr/>
      </w:pPr>
      <w:r w:rsidDel="00000000" w:rsidR="00000000" w:rsidRPr="00000000">
        <w:rPr>
          <w:rtl w:val="0"/>
        </w:rPr>
        <w:t xml:space="preserve">The resulting differentiator is now stated precisely:</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DIRTNet is a decentralized environmental data center in which autonomous edge nodes sense physical reality, perform local scientific inference, construct cryptographically verifiable evidence, coordinate over disruption-tolerant transports, reconcile knowledge after partitions, and collectively improve an NLM world model—while MYCA coordinates tasks, AVANI governs action, MINDEX preserves lineage, Mycorrhizae translates biological and device signals, NatureOS serves scientists, and FUSARIUM serves defense operators.</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ycosoft.com/natureos" TargetMode="External"/><Relationship Id="rId10" Type="http://schemas.openxmlformats.org/officeDocument/2006/relationships/hyperlink" Target="https://mycosoft.com/sensing/gandha" TargetMode="External"/><Relationship Id="rId12" Type="http://schemas.openxmlformats.org/officeDocument/2006/relationships/hyperlink" Target="https://nvidianews.nvidia.com/news/japans-robotics-and-manufacturing-leaders-build-on-nvidia-cosmos-to-advance-physical-ai-frontier" TargetMode="External"/><Relationship Id="rId9" Type="http://schemas.openxmlformats.org/officeDocument/2006/relationships/hyperlink" Target="https://mycosoft.com/sensing/sine" TargetMode="External"/><Relationship Id="rId5" Type="http://schemas.openxmlformats.org/officeDocument/2006/relationships/styles" Target="styles.xml"/><Relationship Id="rId6" Type="http://schemas.openxmlformats.org/officeDocument/2006/relationships/hyperlink" Target="https://mycosoft.com/about" TargetMode="External"/><Relationship Id="rId7" Type="http://schemas.openxmlformats.org/officeDocument/2006/relationships/hyperlink" Target="https://bitcoin.org/bitcoin.pdf" TargetMode="External"/><Relationship Id="rId8" Type="http://schemas.openxmlformats.org/officeDocument/2006/relationships/hyperlink" Target="https://mycosoft.com/sensing/bluesi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