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5D0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This report summarizes Assignment 5. Both parts were implemented and tested successfully on Linux (VMware Ubuntu, kernel ≥ 4.x).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 Part A, the parent and child processes communicate via POSIX shared memory using semaphores to synchronize a fixed-size producer-consumer queue of doubles.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 Part B, the same sequence is transmitted through a pipe.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For both programs (</w:t>
      </w:r>
      <w:r>
        <w:rPr>
          <w:rStyle w:val="4"/>
          <w:rFonts w:ascii="宋体" w:hAnsi="宋体" w:eastAsia="宋体" w:cs="宋体"/>
          <w:sz w:val="24"/>
          <w:szCs w:val="24"/>
        </w:rPr>
        <w:t>lab5_a.c</w:t>
      </w:r>
      <w:r>
        <w:rPr>
          <w:rFonts w:ascii="宋体" w:hAnsi="宋体" w:eastAsia="宋体" w:cs="宋体"/>
          <w:sz w:val="24"/>
          <w:szCs w:val="24"/>
        </w:rPr>
        <w:t xml:space="preserve"> and </w:t>
      </w:r>
      <w:r>
        <w:rPr>
          <w:rStyle w:val="4"/>
          <w:rFonts w:ascii="宋体" w:hAnsi="宋体" w:eastAsia="宋体" w:cs="宋体"/>
          <w:sz w:val="24"/>
          <w:szCs w:val="24"/>
        </w:rPr>
        <w:t>lab5_b.c</w:t>
      </w:r>
      <w:r>
        <w:rPr>
          <w:rFonts w:ascii="宋体" w:hAnsi="宋体" w:eastAsia="宋体" w:cs="宋体"/>
          <w:sz w:val="24"/>
          <w:szCs w:val="24"/>
        </w:rPr>
        <w:t>), the commands below were used: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4"/>
          <w:rFonts w:ascii="宋体" w:hAnsi="宋体" w:eastAsia="宋体" w:cs="宋体"/>
          <w:sz w:val="24"/>
          <w:szCs w:val="24"/>
        </w:rPr>
        <w:t>gcc -O2 -Wall -pthread -o lab5_a lab5_a.c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4"/>
          <w:rFonts w:ascii="宋体" w:hAnsi="宋体" w:eastAsia="宋体" w:cs="宋体"/>
          <w:sz w:val="24"/>
          <w:szCs w:val="24"/>
        </w:rPr>
        <w:t>gcc -O2 -Wall -o lab5_b lab5_b.c</w:t>
      </w:r>
      <w:r>
        <w:rPr>
          <w:rFonts w:ascii="宋体" w:hAnsi="宋体" w:eastAsia="宋体" w:cs="宋体"/>
          <w:sz w:val="24"/>
          <w:szCs w:val="24"/>
        </w:rPr>
        <w:t xml:space="preserve">, and execution </w:t>
      </w:r>
      <w:r>
        <w:rPr>
          <w:rStyle w:val="4"/>
          <w:rFonts w:ascii="宋体" w:hAnsi="宋体" w:eastAsia="宋体" w:cs="宋体"/>
          <w:sz w:val="24"/>
          <w:szCs w:val="24"/>
        </w:rPr>
        <w:t>./lab5_a 6 2.5</w:t>
      </w:r>
      <w:r>
        <w:rPr>
          <w:rFonts w:ascii="宋体" w:hAnsi="宋体" w:eastAsia="宋体" w:cs="宋体"/>
          <w:sz w:val="24"/>
          <w:szCs w:val="24"/>
        </w:rPr>
        <w:t xml:space="preserve"> or </w:t>
      </w:r>
      <w:r>
        <w:rPr>
          <w:rStyle w:val="4"/>
          <w:rFonts w:ascii="宋体" w:hAnsi="宋体" w:eastAsia="宋体" w:cs="宋体"/>
          <w:sz w:val="24"/>
          <w:szCs w:val="24"/>
        </w:rPr>
        <w:t>./lab5_b 6 2.5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 outputs matched the expected arithmetic sequence (79.7, 82.2, 84.7, 87.2, 89.7, 92.2), confirming correct behavior for both shared-memory and pipe-based IPC implementations.</w:t>
      </w:r>
    </w:p>
    <w:p w14:paraId="2A02E9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7537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7325" cy="5187950"/>
            <wp:effectExtent l="0" t="0" r="9525" b="12700"/>
            <wp:docPr id="4" name="图片 4" descr="52becd3b-8a09-4b17-983d-f486d16e1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2becd3b-8a09-4b17-983d-f486d16e151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FD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2025-10-16T16:28:39Z</dcterms:created>
  <dc:creator>Admin</dc:creator>
  <cp:lastModifiedBy>浅渊</cp:lastModifiedBy>
  <dcterms:modified xsi:type="dcterms:W3CDTF">2025-10-16T16:31:04Z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eyJoZGlkIjoiMDI5OGQzOWIxOTFlNDM3MzgyZjg0YzUwYjdiMjJiODQiLCJ1c2VySWQiOiI4Mjc5MzY3NzMifQ==</vt:lpwstr>
  </property>
  <property fmtid="{D5CDD505-2E9C-101B-9397-08002B2CF9AE}" pid="4" name="ICV">
    <vt:lpwstr>227BF4987C0042F9B4BE583D95E374D8_12</vt:lpwstr>
  </property>
</Properties>
</file>