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Calibri" w:cs="Calibri" w:eastAsia="Calibri" w:hAnsi="Calibri"/>
          <w:b/>
          <w:bCs/>
          <w:color w:val="1A1A1A"/>
          <w:sz w:val="40"/>
          <w:szCs w:val="40"/>
        </w:rPr>
        <w:t xml:space="preserve">Dorian Moyne</w:t>
      </w:r>
    </w:p>
    <w:p>
      <w:pPr>
        <w:spacing w:after="60"/>
      </w:pPr>
      <w:r>
        <w:rPr>
          <w:rFonts w:ascii="Calibri" w:cs="Calibri" w:eastAsia="Calibri" w:hAnsi="Calibri"/>
          <w:color w:val="444444"/>
          <w:sz w:val="23"/>
          <w:szCs w:val="23"/>
        </w:rPr>
        <w:t xml:space="preserve">Head of Product | Pilotage P&amp;L, Stratégie Produit &amp; Leadership d'Équipe</w:t>
      </w:r>
    </w:p>
    <w:p>
      <w:pPr>
        <w:pBdr>
          <w:bottom w:val="single" w:color="999999" w:sz="6" w:space="4"/>
        </w:pBdr>
        <w:spacing w:after="10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+33 6 49 48 89 91 | dorianm@nrd-mail.com | linkedin.com/in/dorian-moyne/ | Fourg, France</w:t>
      </w:r>
    </w:p>
    <w:p>
      <w:pPr>
        <w:pBdr>
          <w:bottom w:val="single" w:color="999999" w:sz="6" w:space="2"/>
        </w:pBdr>
        <w:spacing w:after="80" w:before="22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COMPÉTENCES CLÉS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Stratégie produit &amp; Roadmap • Pilotage P&amp;L &amp; Portefeuille • Leadership d'équipe Product Management (recrutement, coaching, gestion de la performance) • Business Development &amp; Go-to-Market • Key Account Management • Coordination interfonctionnelle (Bureau Technique, Industrialisation, Qualité, Supply Chain) • Reporting exécutif &amp; Gouvernance • Stratégie tarifaire • Lean Six Sigma</w:t>
      </w:r>
    </w:p>
    <w:p>
      <w:pPr>
        <w:pBdr>
          <w:bottom w:val="single" w:color="999999" w:sz="6" w:space="2"/>
        </w:pBdr>
        <w:spacing w:after="80" w:before="22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PROFIL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10+ ans d'expérience en Product Management, Business Development et développement produit dans l'automobile, l'e-mobilité et l'électronique industrielle. Responsable P&amp;L complète d'une ligne de produits mondiale de 100 M$ sur 3 sites (France, Inde, Chine), avec management direct d'une équipe de 5 Product Managers et 1 Product Specialist, et coordination élargie de plus de 25 PM. Définit les roadmaps stratégiques, fixe les KPI produit et reporte directement à la direction. A développé des activités de 1 M$ à 30 M$ et de 45 M$ à 100 M$, avec un pipeline qualifié cumulé de plus de 370 M$ et un taux de conversion supérieur à 30 %. Ingénieur de formation, a débuté par l'ingénierie process puis le développement produit avant de prendre des responsabilités de Product Management et de Business Development.</w:t>
      </w:r>
    </w:p>
    <w:p>
      <w:pPr>
        <w:pBdr>
          <w:bottom w:val="single" w:color="999999" w:sz="6" w:space="2"/>
        </w:pBdr>
        <w:spacing w:after="80" w:before="22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EXPÉRIENCE PROFESSIONNELLE</w:t>
      </w:r>
    </w:p>
    <w:p>
      <w:pPr>
        <w:tabs>
          <w:tab w:val="right" w:pos="9936"/>
        </w:tabs>
        <w:spacing w:after="20" w:before="140"/>
      </w:pPr>
      <w:r>
        <w:rPr>
          <w:rFonts w:ascii="Calibri" w:cs="Calibri" w:eastAsia="Calibri" w:hAnsi="Calibri"/>
          <w:b/>
          <w:bCs/>
          <w:color w:val="1A1A1A"/>
          <w:sz w:val="23"/>
          <w:szCs w:val="23"/>
        </w:rPr>
        <w:t xml:space="preserve">Group Product Manager</w:t>
      </w:r>
      <w:r>
        <w:rPr>
          <w:rFonts w:ascii="Calibri" w:cs="Calibri" w:eastAsia="Calibri" w:hAnsi="Calibri"/>
          <w:i/>
          <w:iCs/>
          <w:color w:val="444444"/>
          <w:sz w:val="21"/>
          <w:szCs w:val="21"/>
        </w:rPr>
        <w:t xml:space="preserve">	Juin 2024 – présent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444444"/>
          <w:sz w:val="21"/>
          <w:szCs w:val="21"/>
        </w:rPr>
        <w:t xml:space="preserve">Amphenol – Remote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Responsabilité P&amp;L complète d'une ligne de produits e-mobilité mondiale de 100 M$ sur 3 sites (France, Inde, Chine) : roadmap stratégique à 36 mois, plan opérationnel à 12 mois, budget OPEX/CAPEX de ~4 M$.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Croissance du revenu de 45 M$ à 100 M$ ; 150 M$ projetés pour 2029.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Constitution d'un pipeline qualifié de 220 M$ avec &gt;30 % de taux de conversion.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Amélioration du Return on Sales de +10 % par la rigueur tarifaire et l'industrialisation du portefeuille.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Reporting mensuel au board du groupe Amphenol ; management direct d'une équipe internationale de 5 Product Managers et 1 Product Specialist (Europe &amp; Asie).</w:t>
      </w:r>
    </w:p>
    <w:p>
      <w:pPr>
        <w:tabs>
          <w:tab w:val="right" w:pos="9936"/>
        </w:tabs>
        <w:spacing w:after="20" w:before="140"/>
      </w:pPr>
      <w:r>
        <w:rPr>
          <w:rFonts w:ascii="Calibri" w:cs="Calibri" w:eastAsia="Calibri" w:hAnsi="Calibri"/>
          <w:b/>
          <w:bCs/>
          <w:color w:val="1A1A1A"/>
          <w:sz w:val="23"/>
          <w:szCs w:val="23"/>
        </w:rPr>
        <w:t xml:space="preserve">Product Manager – Connecteur Automobile</w:t>
      </w:r>
      <w:r>
        <w:rPr>
          <w:rFonts w:ascii="Calibri" w:cs="Calibri" w:eastAsia="Calibri" w:hAnsi="Calibri"/>
          <w:i/>
          <w:iCs/>
          <w:color w:val="444444"/>
          <w:sz w:val="21"/>
          <w:szCs w:val="21"/>
        </w:rPr>
        <w:t xml:space="preserve">	Jan 2022 – Mai 2024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444444"/>
          <w:sz w:val="21"/>
          <w:szCs w:val="21"/>
        </w:rPr>
        <w:t xml:space="preserve">Amphenol – Besançon, France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Stratégie globale et exécution commerciale pour une famille de connecteurs automobiles ; équipe et pipeline construits depuis zéro.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Management direct de 2 collaborateurs : un Product Manager local en Chine et un Product Specialist en France.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Croissance du revenu de 1 M$ à 30 M$.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Pipeline d'opportunités de 150 M$ avec &gt;30 % de taux de conversion.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Définition de la roadmap produit et de la stratégie tarifaire sur les marchés mondiaux.</w:t>
      </w:r>
    </w:p>
    <w:p>
      <w:pPr>
        <w:tabs>
          <w:tab w:val="right" w:pos="9936"/>
        </w:tabs>
        <w:spacing w:after="20" w:before="140"/>
      </w:pPr>
      <w:r>
        <w:rPr>
          <w:rFonts w:ascii="Calibri" w:cs="Calibri" w:eastAsia="Calibri" w:hAnsi="Calibri"/>
          <w:b/>
          <w:bCs/>
          <w:color w:val="1A1A1A"/>
          <w:sz w:val="23"/>
          <w:szCs w:val="23"/>
        </w:rPr>
        <w:t xml:space="preserve">Product Manager – Connecteur Industriel Miniature</w:t>
      </w:r>
      <w:r>
        <w:rPr>
          <w:rFonts w:ascii="Calibri" w:cs="Calibri" w:eastAsia="Calibri" w:hAnsi="Calibri"/>
          <w:i/>
          <w:iCs/>
          <w:color w:val="444444"/>
          <w:sz w:val="21"/>
          <w:szCs w:val="21"/>
        </w:rPr>
        <w:t xml:space="preserve">	Déc 2020 – Déc 2021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444444"/>
          <w:sz w:val="21"/>
          <w:szCs w:val="21"/>
        </w:rPr>
        <w:t xml:space="preserve">Amphenol – Besançon, France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Stratégie produit et exécution commerciale ; +50 % de croissance du revenu en un an.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Taux de conversion des opportunités porté à &gt;35 %.</w:t>
      </w:r>
    </w:p>
    <w:p>
      <w:pPr>
        <w:tabs>
          <w:tab w:val="right" w:pos="9936"/>
        </w:tabs>
        <w:spacing w:after="20" w:before="140"/>
      </w:pPr>
      <w:r>
        <w:rPr>
          <w:rFonts w:ascii="Calibri" w:cs="Calibri" w:eastAsia="Calibri" w:hAnsi="Calibri"/>
          <w:b/>
          <w:bCs/>
          <w:color w:val="1A1A1A"/>
          <w:sz w:val="23"/>
          <w:szCs w:val="23"/>
        </w:rPr>
        <w:t xml:space="preserve">Product Development Engineer</w:t>
      </w:r>
      <w:r>
        <w:rPr>
          <w:rFonts w:ascii="Calibri" w:cs="Calibri" w:eastAsia="Calibri" w:hAnsi="Calibri"/>
          <w:i/>
          <w:iCs/>
          <w:color w:val="444444"/>
          <w:sz w:val="21"/>
          <w:szCs w:val="21"/>
        </w:rPr>
        <w:t xml:space="preserve">	Sep 2018 – Déc 2020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444444"/>
          <w:sz w:val="21"/>
          <w:szCs w:val="21"/>
        </w:rPr>
        <w:t xml:space="preserve">C&amp;K – Dole, France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Responsable des simulations FEA et de la validation technique.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Déploiement d'Abaqus et Ansys Enventive dans les processus R&amp;D.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Développement de produits en matériaux avancés transparents résistants au reflow.</w:t>
      </w:r>
    </w:p>
    <w:p>
      <w:pPr>
        <w:tabs>
          <w:tab w:val="right" w:pos="9936"/>
        </w:tabs>
        <w:spacing w:after="20" w:before="140"/>
      </w:pPr>
      <w:r>
        <w:rPr>
          <w:rFonts w:ascii="Calibri" w:cs="Calibri" w:eastAsia="Calibri" w:hAnsi="Calibri"/>
          <w:b/>
          <w:bCs/>
          <w:color w:val="1A1A1A"/>
          <w:sz w:val="23"/>
          <w:szCs w:val="23"/>
        </w:rPr>
        <w:t xml:space="preserve">Process Engineer</w:t>
      </w:r>
      <w:r>
        <w:rPr>
          <w:rFonts w:ascii="Calibri" w:cs="Calibri" w:eastAsia="Calibri" w:hAnsi="Calibri"/>
          <w:i/>
          <w:iCs/>
          <w:color w:val="444444"/>
          <w:sz w:val="21"/>
          <w:szCs w:val="21"/>
        </w:rPr>
        <w:t xml:space="preserve">	Sep 2015 – Août 2018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444444"/>
          <w:sz w:val="21"/>
          <w:szCs w:val="21"/>
        </w:rPr>
        <w:t xml:space="preserve">C&amp;K – Dole, France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Responsable d'un portefeuille de produits industriels en production haut volume ; OEE maintenu &gt;85 %.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Industrialisation mensuelle de nouvelles variantes produit.</w:t>
      </w:r>
    </w:p>
    <w:p>
      <w:pPr>
        <w:pBdr>
          <w:bottom w:val="single" w:color="999999" w:sz="6" w:space="2"/>
        </w:pBdr>
        <w:spacing w:after="80" w:before="22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FORMATION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Diplôme d'Ingénieur, Mécanique &amp; Microtechnique</w:t>
      </w:r>
      <w:r>
        <w:rPr>
          <w:rFonts w:ascii="Calibri" w:cs="Calibri" w:eastAsia="Calibri" w:hAnsi="Calibri"/>
          <w:sz w:val="22"/>
          <w:szCs w:val="22"/>
        </w:rPr>
        <w:t xml:space="preserve"> — SUPMICROTECH-ENSMM, Besançon — 2015 – 2018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BTS Conception et Industrialisation en Microtechniques</w:t>
      </w:r>
      <w:r>
        <w:rPr>
          <w:rFonts w:ascii="Calibri" w:cs="Calibri" w:eastAsia="Calibri" w:hAnsi="Calibri"/>
          <w:sz w:val="22"/>
          <w:szCs w:val="22"/>
        </w:rPr>
        <w:t xml:space="preserve"> — Lycée Edgar Faure, Morteau — 2013 – 2015</w:t>
      </w:r>
    </w:p>
    <w:p>
      <w:pPr>
        <w:pBdr>
          <w:bottom w:val="single" w:color="999999" w:sz="6" w:space="2"/>
        </w:pBdr>
        <w:spacing w:after="80" w:before="22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Lean Six Sigma Green Belt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DFMEA Upgrade AIAG-VDA-SAE (AMDEC)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Abaqus – Contact &amp; Non-linéarité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The 7 Habits of Highly Effective People (FranklinCovey)</w:t>
      </w:r>
    </w:p>
    <w:p>
      <w:pPr>
        <w:pBdr>
          <w:bottom w:val="single" w:color="999999" w:sz="6" w:space="2"/>
        </w:pBdr>
        <w:spacing w:after="80" w:before="22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LANGUES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Français – natif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Anglais – bilingue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Allemand – en cours d'apprentissage</w:t>
      </w:r>
    </w:p>
    <w:sectPr>
      <w:pgSz w:w="12240" w:h="15840" w:orient="portrait"/>
      <w:pgMar w:top="792" w:right="936" w:bottom="792" w:left="93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16" w:hanging="23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2026-09-26T19:10:48.211Z</dcterms:created>
  <dcterms:modified xsi:type="dcterms:W3CDTF">2026-09-26T19:10:48.211Z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