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Myelin 用于 CKB 物联网方案的适配性研究</w:t>
      </w:r>
    </w:p>
    <w:p>
      <w:pPr>
        <w:pStyle w:val="Subtitle"/>
      </w:pPr>
      <w:r>
        <w:t>适配性、架构边界与 PoC 决策建议</w:t>
      </w:r>
    </w:p>
    <w:p>
      <w:pPr>
        <w:pStyle w:val="MyelinMeta"/>
      </w:pPr>
      <w:r>
        <w:rPr>
          <w:rFonts w:ascii="Arial" w:hAnsi="Arial" w:eastAsia="Noto Sans CJK SC"/>
          <w:b/>
          <w:color w:val="0B2545"/>
          <w:sz w:val="19"/>
        </w:rPr>
        <w:t>结论：</w:t>
      </w:r>
      <w:r>
        <w:rPr>
          <w:rFonts w:ascii="Arial" w:hAnsi="Arial" w:eastAsia="Noto Sans CJK SC"/>
          <w:b w:val="0"/>
          <w:color w:val="5B6573"/>
          <w:sz w:val="19"/>
        </w:rPr>
        <w:t>有条件适合；建议窄范围 PoC</w:t>
      </w:r>
    </w:p>
    <w:p>
      <w:pPr>
        <w:pStyle w:val="MyelinMeta"/>
      </w:pPr>
      <w:r>
        <w:rPr>
          <w:rFonts w:ascii="Arial" w:hAnsi="Arial" w:eastAsia="Noto Sans CJK SC"/>
          <w:b/>
          <w:color w:val="0B2545"/>
          <w:sz w:val="19"/>
        </w:rPr>
        <w:t>最佳形态：</w:t>
      </w:r>
      <w:r>
        <w:rPr>
          <w:rFonts w:ascii="Arial" w:hAnsi="Arial" w:eastAsia="Noto Sans CJK SC"/>
          <w:b w:val="0"/>
          <w:color w:val="5B6573"/>
          <w:sz w:val="19"/>
        </w:rPr>
        <w:t>边缘网关聚合 + 受控多方会话 + CKB 周期性锚定/结算</w:t>
      </w:r>
    </w:p>
    <w:p>
      <w:pPr>
        <w:pStyle w:val="MyelinMeta"/>
      </w:pPr>
      <w:r>
        <w:rPr>
          <w:rFonts w:ascii="Arial" w:hAnsi="Arial" w:eastAsia="Noto Sans CJK SC"/>
          <w:b/>
          <w:color w:val="0B2545"/>
          <w:sz w:val="19"/>
        </w:rPr>
        <w:t>仓库基线：</w:t>
      </w:r>
      <w:r>
        <w:rPr>
          <w:rFonts w:ascii="Arial" w:hAnsi="Arial" w:eastAsia="Noto Sans CJK SC"/>
          <w:b w:val="0"/>
          <w:color w:val="5B6573"/>
          <w:sz w:val="19"/>
        </w:rPr>
        <w:t>35896f5（v0.10.0-7-g35896f5）</w:t>
      </w:r>
    </w:p>
    <w:p>
      <w:pPr>
        <w:pStyle w:val="MyelinMeta"/>
      </w:pPr>
      <w:r>
        <w:rPr>
          <w:rFonts w:ascii="Arial" w:hAnsi="Arial" w:eastAsia="Noto Sans CJK SC"/>
          <w:b/>
          <w:color w:val="0B2545"/>
          <w:sz w:val="19"/>
        </w:rPr>
        <w:t>研究日期：</w:t>
      </w:r>
      <w:r>
        <w:rPr>
          <w:rFonts w:ascii="Arial" w:hAnsi="Arial" w:eastAsia="Noto Sans CJK SC"/>
          <w:b w:val="0"/>
          <w:color w:val="5B6573"/>
          <w:sz w:val="19"/>
        </w:rPr>
        <w:t>2026-08-24（Asia/Shanghai）</w:t>
      </w:r>
    </w:p>
    <w:p>
      <w:pPr>
        <w:pStyle w:val="MyelinMeta"/>
      </w:pPr>
      <w:r>
        <w:rPr>
          <w:rFonts w:ascii="Arial" w:hAnsi="Arial" w:eastAsia="Noto Sans CJK SC"/>
          <w:b/>
          <w:color w:val="0B2545"/>
          <w:sz w:val="19"/>
        </w:rPr>
        <w:t>证据口径：</w:t>
      </w:r>
      <w:r>
        <w:rPr>
          <w:rFonts w:ascii="Arial" w:hAnsi="Arial" w:eastAsia="Noto Sans CJK SC"/>
          <w:b w:val="0"/>
          <w:color w:val="5B6573"/>
          <w:sz w:val="19"/>
        </w:rPr>
        <w:t>区分架构可行、已实现、已测试和已在 CKB 形成链上证据</w:t>
      </w:r>
    </w:p>
    <w:p>
      <w:pPr>
        <w:pStyle w:val="MyelinLead"/>
        <w:shd w:fill="EAF2F8"/>
        <w:pBdr>
          <w:left w:val="single" w:sz="18" w:space="8" w:color="2E74B5"/>
        </w:pBdr>
      </w:pPr>
      <w:r>
        <w:rPr>
          <w:rFonts w:ascii="Arial" w:hAnsi="Arial" w:eastAsia="Noto Sans CJK SC"/>
          <w:b w:val="0"/>
          <w:i w:val="0"/>
          <w:sz w:val="22"/>
        </w:rPr>
        <w:t>决策建议：批准一个面向工业计量/设备服务回执的窄范围 PoC；不批准“设备直连 CKB”“每条遥测上链”或“已具备无许可链上裁决”的产品叙事。</w:t>
      </w:r>
      <w:r>
        <w:rPr>
          <w:rStyle w:val="EndnoteReference"/>
        </w:rPr>
        <w:endnoteReference w:id="1"/>
      </w:r>
    </w:p>
    <w:p>
      <w:pPr>
        <w:pStyle w:val="Heading1"/>
      </w:pPr>
      <w:r>
        <w:t>执行结论</w:t>
      </w:r>
    </w:p>
    <w:p>
      <w:r>
        <w:rPr>
          <w:rFonts w:ascii="Arial" w:hAnsi="Arial" w:eastAsia="Noto Sans CJK SC"/>
          <w:b w:val="0"/>
          <w:i w:val="0"/>
          <w:sz w:val="22"/>
        </w:rPr>
        <w:t>Myelin 有条件适合做 CKB 物联网方案。正确产品形态是：设备只签名和缓冲，边缘网关验证并聚合，Myelin 在已知参与方之间执行有限 Cell 会话，CKB 只接收批次承诺、托管/结算及可复核的链上证据。CKB 自身把 L1 定位为验证与共同知识托管层，把高性能状态生成留给上层，这与该分层一致。</w:t>
      </w:r>
      <w:r>
        <w:rPr>
          <w:rStyle w:val="EndnoteReference"/>
        </w:rPr>
        <w:endnoteReference w:id="2"/>
      </w:r>
    </w:p>
    <w:p>
      <w:r>
        <w:rPr>
          <w:rFonts w:ascii="Arial" w:hAnsi="Arial" w:eastAsia="Noto Sans CJK SC"/>
          <w:b w:val="0"/>
          <w:i w:val="0"/>
          <w:sz w:val="22"/>
        </w:rPr>
        <w:t>最强匹配场景是工业用量计费、充电/能源结算、跨组织设备服务回执：它们都有明确周期、许多链下更新、少量链上结算和清晰的争议批次。若只是单一企业内部遥测归档，普通时序数据库或 WORM 日志加周期性 CKB Merkle 根锚定通常更简单。</w:t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适合：有限会话、批次可确定性重放、多方共同确认、需要净结算或争议证据。</w:t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不适合：硬实时控制、原始 firehose、设备端运行完整 Myelin/CKB、公共无许可 IoT 市场。</w:t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进入生产前必须补：IoT 应用模块、设备身份/撤销、真实 DA、CKB 0.209 回归、性能与长稳测试、生产密钥流程。</w:t>
      </w:r>
    </w:p>
    <w:p>
      <w:pPr>
        <w:pStyle w:val="Heading1"/>
      </w:pPr>
      <w:r>
        <w:t>1. 为什么这类 IoT 与 Myelin/CKB 匹配</w:t>
      </w:r>
    </w:p>
    <w:p>
      <w:pPr>
        <w:pStyle w:val="Heading2"/>
      </w:pPr>
      <w:r>
        <w:t>1.1 CKB 是验证层，不是遥测数据库</w:t>
      </w:r>
    </w:p>
    <w:p>
      <w:r>
        <w:rPr>
          <w:rFonts w:ascii="Arial" w:hAnsi="Arial" w:eastAsia="Noto Sans CJK SC"/>
          <w:b w:val="0"/>
          <w:i w:val="0"/>
          <w:sz w:val="22"/>
        </w:rPr>
        <w:t>CKB 的 Cell 是一次性消费、原子替换的状态单元；类型脚本承担状态转移规则，CKB-VM 使用 RISC-V 和周期计量来验证交易。这适合存放“某个计量周期的承诺和净结果”，不适合存放传感器连续原始流。</w:t>
      </w:r>
      <w:r>
        <w:rPr>
          <w:rStyle w:val="EndnoteReference"/>
        </w:rPr>
        <w:endnoteReference w:id="3"/>
      </w:r>
      <w:r>
        <w:rPr>
          <w:rStyle w:val="EndnoteReference"/>
        </w:rPr>
        <w:endnoteReference w:id="4"/>
      </w:r>
    </w:p>
    <w:p>
      <w:pPr>
        <w:pStyle w:val="Heading2"/>
      </w:pPr>
      <w:r>
        <w:t>1.2 Myelin 补的是有限会话和证据谱系</w:t>
      </w:r>
    </w:p>
    <w:p>
      <w:r>
        <w:rPr>
          <w:rFonts w:ascii="Arial" w:hAnsi="Arial" w:eastAsia="Noto Sans CJK SC"/>
          <w:b w:val="0"/>
          <w:i w:val="0"/>
          <w:sz w:val="22"/>
        </w:rPr>
        <w:t>当前仓库已具备精确前/后状态根、READ/WRITE 逻辑冲突调度、严格 CKB-VM 脚本组验证、原子状态提交，以及静态委员会、PoA、Tendermint 三种已知验证者会话 finality。连续路径还包含 RocksDB 同步 WAL、原子 head/block/snapshot/outbox、恢复、闭合 peer、Schnorr 信封、mTLS gRPC 和 ACK-after-durability。</w:t>
      </w:r>
      <w:r>
        <w:rPr>
          <w:rStyle w:val="EndnoteReference"/>
        </w:rPr>
        <w:endnoteReference w:id="5"/>
      </w:r>
    </w:p>
    <w:p>
      <w:r>
        <w:rPr>
          <w:rFonts w:ascii="Arial" w:hAnsi="Arial" w:eastAsia="Noto Sans CJK SC"/>
          <w:b w:val="0"/>
          <w:i w:val="0"/>
          <w:sz w:val="22"/>
        </w:rPr>
        <w:t>CKB 证据适配器把同一笔精确交易逐级推进：WireEncoded、ContextResolved、ConsensusValidated、ScriptsVerified、NodeAccepted、Committed、Finalized。每一级都需要可复核 receipt；确认深度只是观察到的运行性 finality，不是绝对不可逆。</w:t>
      </w:r>
      <w:r>
        <w:rPr>
          <w:rStyle w:val="EndnoteReference"/>
        </w:rPr>
        <w:endnoteReference w:id="6"/>
      </w:r>
    </w:p>
    <w:p>
      <w:pPr>
        <w:pStyle w:val="MyelinCallout"/>
        <w:shd w:fill="F4F6F9"/>
        <w:pBdr>
          <w:left w:val="single" w:sz="18" w:space="8" w:color="1F4D78"/>
        </w:pBdr>
      </w:pPr>
      <w:r>
        <w:rPr>
          <w:rFonts w:ascii="Arial" w:hAnsi="Arial" w:eastAsia="Noto Sans CJK SC"/>
          <w:b w:val="0"/>
          <w:i w:val="0"/>
          <w:sz w:val="22"/>
        </w:rPr>
        <w:t>Myelin 的核心价值不是“区块链化传感器”，而是让多方对一段有限、可重放、可结算的设备事件形成同一状态谱系。</w:t>
      </w:r>
    </w:p>
    <w:p>
      <w:pPr>
        <w:pStyle w:val="Heading1"/>
      </w:pPr>
      <w:r>
        <w:t>2. 正确的运行边界</w:t>
      </w:r>
    </w:p>
    <w:p>
      <w:r>
        <w:rPr>
          <w:rFonts w:ascii="Arial" w:hAnsi="Arial" w:eastAsia="Noto Sans CJK SC"/>
          <w:b w:val="0"/>
          <w:i w:val="0"/>
          <w:sz w:val="22"/>
        </w:rPr>
        <w:t>Myelin 应运行在边缘服务器、园区网关或云侧验证节点，而不是 MCU。当前运行时依赖 Rust std、Tokio、gRPC/mTLS、RocksDB、持久 WAL 与 CKB-VM；IETF 对受限节点的分类也说明，Class 0 设备通常需要代理/网关，Class 1 设备必须节制使用代码、状态和能源。</w:t>
      </w:r>
      <w:r>
        <w:rPr>
          <w:rStyle w:val="EndnoteReference"/>
        </w:rPr>
        <w:endnoteReference w:id="7"/>
      </w:r>
    </w:p>
    <w:p>
      <w:pPr>
        <w:pStyle w:val="MyelinNumber"/>
        <w:numPr>
          <w:ilvl w:val="0"/>
          <w:numId w:val="11"/>
        </w:numPr>
      </w:pPr>
      <w:r>
        <w:rPr>
          <w:rFonts w:ascii="Arial" w:hAnsi="Arial" w:eastAsia="Noto Sans CJK SC"/>
          <w:b w:val="0"/>
          <w:i w:val="0"/>
          <w:sz w:val="22"/>
        </w:rPr>
        <w:t>设备层：采样、使用受保护密钥签名、维护防回滚计数器和离线缓冲；不构造 Myelin CellTx，不持有结算资金密钥。</w:t>
      </w:r>
    </w:p>
    <w:p>
      <w:pPr>
        <w:pStyle w:val="MyelinNumber"/>
        <w:numPr>
          <w:ilvl w:val="0"/>
          <w:numId w:val="11"/>
        </w:numPr>
      </w:pPr>
      <w:r>
        <w:rPr>
          <w:rFonts w:ascii="Arial" w:hAnsi="Arial" w:eastAsia="Noto Sans CJK SC"/>
          <w:b w:val="0"/>
          <w:i w:val="0"/>
          <w:sz w:val="22"/>
        </w:rPr>
        <w:t>接入/网关层：复用 MQTT/CoAP/工业协议；校验设备注册、签名、counter、epoch 和迟到策略；生成 reading root 与确定性聚合。</w:t>
      </w:r>
    </w:p>
    <w:p>
      <w:pPr>
        <w:pStyle w:val="MyelinNumber"/>
        <w:numPr>
          <w:ilvl w:val="0"/>
          <w:numId w:val="11"/>
        </w:numPr>
      </w:pPr>
      <w:r>
        <w:rPr>
          <w:rFonts w:ascii="Arial" w:hAnsi="Arial" w:eastAsia="Noto Sans CJK SC"/>
          <w:b w:val="0"/>
          <w:i w:val="0"/>
          <w:sz w:val="22"/>
        </w:rPr>
        <w:t>Myelin 层：验证紧凑批次 CellTx，更新状态根，在已知参与方之间形成会话 finality；验证者网络与设备接入网络分离。</w:t>
      </w:r>
    </w:p>
    <w:p>
      <w:pPr>
        <w:pStyle w:val="MyelinNumber"/>
        <w:numPr>
          <w:ilvl w:val="0"/>
          <w:numId w:val="11"/>
        </w:numPr>
      </w:pPr>
      <w:r>
        <w:rPr>
          <w:rFonts w:ascii="Arial" w:hAnsi="Arial" w:eastAsia="Noto Sans CJK SC"/>
          <w:b w:val="0"/>
          <w:i w:val="0"/>
          <w:sz w:val="22"/>
        </w:rPr>
        <w:t>DA/审计层：保存原始读数、设备签名和 Merkle 路径，跨故障域复制并定期做检索探针。当前 Myelin 只有 DA 证书核心，真实 provider/auditor 仍待实现。</w:t>
      </w:r>
      <w:r>
        <w:rPr>
          <w:rStyle w:val="EndnoteReference"/>
        </w:rPr>
        <w:endnoteReference w:id="8"/>
      </w:r>
    </w:p>
    <w:p>
      <w:pPr>
        <w:pStyle w:val="MyelinNumber"/>
        <w:numPr>
          <w:ilvl w:val="0"/>
          <w:numId w:val="11"/>
        </w:numPr>
      </w:pPr>
      <w:r>
        <w:rPr>
          <w:rFonts w:ascii="Arial" w:hAnsi="Arial" w:eastAsia="Noto Sans CJK SC"/>
          <w:b w:val="0"/>
          <w:i w:val="0"/>
          <w:sz w:val="22"/>
        </w:rPr>
        <w:t>CKB 层：按小时、日或结算周期提交紧凑承诺/结算；使用权威节点完成上下文验证、提交、包含证明与确认深度复核。</w:t>
      </w:r>
    </w:p>
    <w:p>
      <w:pPr>
        <w:pStyle w:val="MyelinNumber"/>
        <w:numPr>
          <w:ilvl w:val="0"/>
          <w:numId w:val="11"/>
        </w:numPr>
      </w:pPr>
      <w:r>
        <w:rPr>
          <w:rFonts w:ascii="Arial" w:hAnsi="Arial" w:eastAsia="Noto Sans CJK SC"/>
          <w:b w:val="0"/>
          <w:i w:val="0"/>
          <w:sz w:val="22"/>
        </w:rPr>
        <w:t>独立审计层：可在网关/服务器使用 CKB 官方 light client 复核相关脚本和交易；它不是受限设备的首选运行面。</w:t>
      </w:r>
      <w:r>
        <w:rPr>
          <w:rStyle w:val="EndnoteReference"/>
        </w:rPr>
        <w:endnoteReference w:id="9"/>
      </w:r>
    </w:p>
    <w:p>
      <w:pPr>
        <w:pStyle w:val="Heading1"/>
      </w:pPr>
      <w:r>
        <w:t>3. 场景适配矩阵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1260"/>
        <w:gridCol w:w="1260"/>
        <w:gridCol w:w="4320"/>
      </w:tblGrid>
      <w:tr>
        <w:trPr>
          <w:tblHeader w:val="true"/>
        </w:trPr>
        <w:tc>
          <w:tcPr>
            <w:tcW w:type="dxa" w:w="25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1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0B2545"/>
                <w:sz w:val="19"/>
              </w:rPr>
              <w:t>架构适配</w:t>
            </w:r>
          </w:p>
        </w:tc>
        <w:tc>
          <w:tcPr>
            <w:tcW w:type="dxa" w:w="1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0B2545"/>
                <w:sz w:val="19"/>
              </w:rPr>
              <w:t>就绪度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0B2545"/>
                <w:sz w:val="19"/>
              </w:rPr>
              <w:t>判断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工业/能源计量与周期结算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D78"/>
                <w:sz w:val="19"/>
              </w:rPr>
              <w:t>高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7A5A00"/>
                <w:sz w:val="19"/>
              </w:rPr>
              <w:t>中低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最佳 PoC；批次清晰、状态有限、结算确定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充电桩/设备服务 SLA 回执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D78"/>
                <w:sz w:val="19"/>
              </w:rPr>
              <w:t>高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7A5A00"/>
                <w:sz w:val="19"/>
              </w:rPr>
              <w:t>中低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适合签名回执、预付/托管和净结算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跨组织供应链事件批次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D78"/>
                <w:sz w:val="19"/>
              </w:rPr>
              <w:t>中高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9B1C1C"/>
                <w:sz w:val="19"/>
              </w:rPr>
              <w:t>低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需补组织身份、撤销、隐私与选择性披露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设备固件/安全状态登记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7A5A00"/>
                <w:sz w:val="19"/>
              </w:rPr>
              <w:t>中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9B1C1C"/>
                <w:sz w:val="19"/>
              </w:rPr>
              <w:t>低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可锚定 attestation 结果；证明采集在 Myelin 外部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单一企业遥测审计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7A5A00"/>
                <w:sz w:val="19"/>
              </w:rPr>
              <w:t>中低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7A5A00"/>
                <w:sz w:val="19"/>
              </w:rPr>
              <w:t>中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没有多方/结算时，普通日志 + CKB 根锚更简单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实时控制、联锁与安全闭环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9B1C1C"/>
                <w:sz w:val="19"/>
              </w:rPr>
              <w:t>低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9B1C1C"/>
                <w:sz w:val="19"/>
              </w:rPr>
              <w:t>低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控制回路不能依赖会话共识或链上确认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每条传感器读数上链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9B1C1C"/>
                <w:sz w:val="19"/>
              </w:rPr>
              <w:t>很低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9B1C1C"/>
                <w:sz w:val="19"/>
              </w:rPr>
              <w:t>很低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Cell 容量和链上存储成本使 firehose 不经济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公共无许可机器经济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9B1C1C"/>
                <w:sz w:val="19"/>
              </w:rPr>
              <w:t>很低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9B1C1C"/>
                <w:sz w:val="19"/>
              </w:rPr>
              <w:t>很低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当前验证者、court 与 DA 不支持该信任模型</w:t>
            </w:r>
          </w:p>
        </w:tc>
      </w:tr>
    </w:tbl>
    <w:p>
      <w:pPr>
        <w:pStyle w:val="MyelinSmall"/>
        <w:spacing w:before="80"/>
      </w:pPr>
      <w:r>
        <w:rPr>
          <w:rFonts w:ascii="Arial" w:hAnsi="Arial" w:eastAsia="Noto Sans CJK SC"/>
          <w:b w:val="0"/>
          <w:color w:val="5B6573"/>
          <w:sz w:val="19"/>
        </w:rPr>
        <w:t>注：适配度与就绪度为本报告的工程判断，不是性能测量。</w:t>
      </w:r>
    </w:p>
    <w:p>
      <w:r>
        <w:rPr>
          <w:rFonts w:ascii="Arial" w:hAnsi="Arial" w:eastAsia="Noto Sans CJK SC"/>
          <w:b w:val="0"/>
          <w:i w:val="0"/>
          <w:sz w:val="22"/>
        </w:rPr>
        <w:t>CKB Cell 的 capacity 必须覆盖 data、lock、type 等占用字段，状态持有也有机会成本。因此链上应该放批次根、策略版本、会话关闭和净结算，而不是原始遥测或每条读数的 Cell。</w:t>
      </w:r>
      <w:r>
        <w:rPr>
          <w:rStyle w:val="EndnoteReference"/>
        </w:rPr>
        <w:endnoteReference w:id="10"/>
      </w:r>
    </w:p>
    <w:p>
      <w:pPr>
        <w:pStyle w:val="Heading1"/>
      </w:pPr>
      <w:r>
        <w:t>4. 当前成熟度：有通用内核，没有 IoT 产品</w:t>
      </w:r>
    </w:p>
    <w:p>
      <w:r>
        <w:rPr>
          <w:rFonts w:ascii="Arial" w:hAnsi="Arial" w:eastAsia="Noto Sans CJK SC"/>
          <w:b w:val="0"/>
          <w:i w:val="0"/>
          <w:sz w:val="22"/>
        </w:rPr>
        <w:t>仓库已有 IoT metering 概念文档，描述“设备签名 + 网关聚合 + TelemetryBatchCell + CKB 锚定”。但全仓库没有对应 Rust/CellScript 类型、传感器 fixture、设备 SDK 或 IoT acceptance；旧定位文档仍把 100 设备验收标为 proposed，也明确没有 IoT 规模、吞吐或延迟证据。</w:t>
      </w:r>
      <w:r>
        <w:rPr>
          <w:rStyle w:val="EndnoteReference"/>
        </w:rPr>
        <w:endnoteReference w:id="11"/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已实现：通用有限 Cell 会话内核、严格 VM、状态根、闭环 finality、持久恢复、CKB 证据引擎。</w:t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已有链上证据：公共测试网标准锁和 canonical 2-of-3 multisig；这不代表 verifier/court/settlement/DA 已部署。</w:t>
      </w:r>
      <w:r>
        <w:rPr>
          <w:rStyle w:val="EndnoteReference"/>
        </w:rPr>
        <w:endnoteReference w:id="12"/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未实现：IoT 数据模型、设备注册/撤销、网关协议适配、遥测 verifier、IoT 压测、完整链上 court。</w:t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未生产化：独立 DA provider/auditor、完整 key custody、真实争用/长稳测试、安全 multi-parent overlay。</w:t>
      </w:r>
    </w:p>
    <w:p>
      <w:pPr>
        <w:pStyle w:val="Heading1"/>
      </w:pPr>
      <w:r>
        <w:t>5. 必须明确的缺口与风险</w:t>
      </w:r>
    </w:p>
    <w:p>
      <w:pPr>
        <w:pStyle w:val="Heading2"/>
      </w:pPr>
      <w:r>
        <w:t>5.1 概念文档与权威边界冲突</w:t>
      </w:r>
    </w:p>
    <w:p>
      <w:r>
        <w:rPr>
          <w:rFonts w:ascii="Arial" w:hAnsi="Arial" w:eastAsia="Noto Sans CJK SC"/>
          <w:b w:val="0"/>
          <w:i w:val="0"/>
          <w:sz w:val="22"/>
        </w:rPr>
        <w:t>IoT 草图描述了 accept/slash verdict，但当前权威架构明确：本地 court bundle 只验证内部可复现性，court_verifiable=false；实际链上 court verdict 仍不存在。报告和产品必须以较新的权威边界为准，把旧表述降级为未来目标。</w:t>
      </w:r>
      <w:r>
        <w:rPr>
          <w:rStyle w:val="EndnoteReference"/>
        </w:rPr>
        <w:endnoteReference w:id="13"/>
      </w:r>
    </w:p>
    <w:p>
      <w:pPr>
        <w:pStyle w:val="Heading2"/>
      </w:pPr>
      <w:r>
        <w:t>5.2 设备签名不等于物理真实性</w:t>
      </w:r>
    </w:p>
    <w:p>
      <w:r>
        <w:rPr>
          <w:rFonts w:ascii="Arial" w:hAnsi="Arial" w:eastAsia="Noto Sans CJK SC"/>
          <w:b w:val="0"/>
          <w:i w:val="0"/>
          <w:sz w:val="22"/>
        </w:rPr>
        <w:t>签名只能证明某把密钥提交了读数，不能证明传感器未被替换、校准有效、位置真实或测量未受物理干预。RATS 把 Attester、Verifier、Relying Party 分开，并强调 attestation key 的制造、配置和保护；Myelin 不替代这一设备可信根。</w:t>
      </w:r>
      <w:r>
        <w:rPr>
          <w:rStyle w:val="EndnoteReference"/>
        </w:rPr>
        <w:endnoteReference w:id="14"/>
      </w:r>
    </w:p>
    <w:p>
      <w:pPr>
        <w:pStyle w:val="Heading2"/>
      </w:pPr>
      <w:r>
        <w:t>5.3 Myelin 不替代设备安全生命周期</w:t>
      </w:r>
    </w:p>
    <w:p>
      <w:r>
        <w:rPr>
          <w:rFonts w:ascii="Arial" w:hAnsi="Arial" w:eastAsia="Noto Sans CJK SC"/>
          <w:b w:val="0"/>
          <w:i w:val="0"/>
          <w:sz w:val="22"/>
        </w:rPr>
        <w:t>NIST 的通用 IoT 能力包括唯一设备识别、受控配置、数据保护、接口访问控制、安全更新和安全状态感知。Myelin 只覆盖共享状态、确定性规则和证据的一部分，不能被当作设备管理或安全平台。</w:t>
      </w:r>
      <w:r>
        <w:rPr>
          <w:rStyle w:val="EndnoteReference"/>
        </w:rPr>
        <w:endnoteReference w:id="15"/>
      </w:r>
    </w:p>
    <w:p>
      <w:pPr>
        <w:pStyle w:val="Heading2"/>
      </w:pPr>
      <w:r>
        <w:t>5.4 CKB 版本与生产证据仍需回归</w:t>
      </w:r>
    </w:p>
    <w:p>
      <w:r>
        <w:rPr>
          <w:rFonts w:ascii="Arial" w:hAnsi="Arial" w:eastAsia="Noto Sans CJK SC"/>
          <w:b w:val="0"/>
          <w:i w:val="0"/>
          <w:sz w:val="22"/>
        </w:rPr>
        <w:t>Myelin 权威文档记录的父 CKB 集成 devnet 为 0.207.0；截至研究日官方最新节点 release 为 0.209.0。这不表示已知不兼容，但 PoC 合并前必须在 0.209.0 重跑适配器、包含证明、重组与负向测试。</w:t>
      </w:r>
      <w:r>
        <w:rPr>
          <w:rStyle w:val="EndnoteReference"/>
        </w:rPr>
        <w:endnoteReference w:id="16"/>
      </w:r>
    </w:p>
    <w:p>
      <w:r>
        <w:rPr>
          <w:rFonts w:ascii="Arial" w:hAnsi="Arial" w:eastAsia="Noto Sans CJK SC"/>
          <w:b w:val="0"/>
          <w:i w:val="0"/>
          <w:sz w:val="22"/>
        </w:rPr>
        <w:t>仓库的剩余 blocker 还包括公共测试网 verifier/court、生产 DA、签名者隔离与密钥轮换、差分/fuzz/soak、真实争用基准和 court economics。不能据设计声称 IoT at scale、TPS 或 p99 延迟。</w:t>
      </w:r>
      <w:r>
        <w:rPr>
          <w:rStyle w:val="EndnoteReference"/>
        </w:rPr>
        <w:endnoteReference w:id="17"/>
      </w:r>
    </w:p>
    <w:p>
      <w:pPr>
        <w:pStyle w:val="Heading1"/>
      </w:pPr>
      <w:r>
        <w:t>6. 推荐的数据与信任模型</w:t>
      </w:r>
    </w:p>
    <w:p>
      <w:pPr>
        <w:pStyle w:val="Heading2"/>
      </w:pPr>
      <w:r>
        <w:t>6.1 设备消息</w:t>
      </w:r>
    </w:p>
    <w:p>
      <w:r>
        <w:rPr>
          <w:rFonts w:ascii="Arial" w:hAnsi="Arial" w:eastAsia="Noto Sans CJK SC"/>
          <w:b w:val="0"/>
          <w:i w:val="0"/>
          <w:sz w:val="22"/>
        </w:rPr>
        <w:t>每条设备消息至少包含：device_id、session_id、gateway_id、epoch、counter、observed_at、payload_hash、firmware/attestation_ref、signature。计数器必须防回滚，签名覆盖规范编码后的全部安全字段。</w:t>
      </w:r>
    </w:p>
    <w:p>
      <w:pPr>
        <w:pStyle w:val="Heading2"/>
      </w:pPr>
      <w:r>
        <w:t>6.2 批次对象</w:t>
      </w:r>
    </w:p>
    <w:p>
      <w:r>
        <w:rPr>
          <w:rFonts w:ascii="Arial" w:hAnsi="Arial" w:eastAsia="Noto Sans CJK SC"/>
          <w:b w:val="0"/>
          <w:i w:val="0"/>
          <w:sz w:val="22"/>
        </w:rPr>
        <w:t>每个批次包含：设备集合/策略版本、时间窗、reading root、读数计数、缺失/迟到摘要、上一个状态根、聚合结果、结算增量和网关签名。原始读数和 Merkle 路径进入 DA，不进入 CKB anchor。</w:t>
      </w:r>
    </w:p>
    <w:p>
      <w:pPr>
        <w:pStyle w:val="Heading2"/>
      </w:pPr>
      <w:r>
        <w:t>6.3 冲突键与并行</w:t>
      </w:r>
    </w:p>
    <w:p>
      <w:r>
        <w:rPr>
          <w:rFonts w:ascii="Arial" w:hAnsi="Arial" w:eastAsia="Noto Sans CJK SC"/>
          <w:b w:val="0"/>
          <w:i w:val="0"/>
          <w:sz w:val="22"/>
        </w:rPr>
        <w:t>建议按 {fleet_id, meter_or_shard, epoch} 建立逻辑冲突键。不同 fleet/shard 可以并行；同一计费域上的 WRITE 必须排序。不要把所有设备塞进一个频繁消费的单 Cell，否则物理 OutPoint 已把写入完全串行。</w:t>
      </w:r>
    </w:p>
    <w:p>
      <w:pPr>
        <w:pStyle w:val="Heading2"/>
      </w:pPr>
      <w:r>
        <w:t>6.4 最低威胁模型</w:t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设备密钥泄露：安全元件优先；支持轮换、撤销、隔离和 epoch 切换。</w:t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counter 回滚/重放：网关与会话状态维护 last accepted counter；设备重置必须走显式恢复协议。</w:t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网关遗漏/审查：保留第二送达路径或独立审计抽样，不能只相信网关重签结果。</w:t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验证者串谋：安全上限就是预配置集合；关键结算应跨组织部署并使用阈值。</w:t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DA 不可用：缺少可检索原始批次就不能支撑争议；DA readiness 应是锚定/结算前置门。</w:t>
      </w:r>
    </w:p>
    <w:p>
      <w:pPr>
        <w:pStyle w:val="MyelinBullet"/>
        <w:numPr>
          <w:ilvl w:val="0"/>
          <w:numId w:val="10"/>
        </w:numPr>
      </w:pPr>
      <w:r>
        <w:rPr>
          <w:rFonts w:ascii="Arial" w:hAnsi="Arial" w:eastAsia="Noto Sans CJK SC"/>
          <w:b w:val="0"/>
          <w:i w:val="0"/>
          <w:sz w:val="22"/>
        </w:rPr>
        <w:t>隐私：链上只放承诺和净结算；原始遥测在链下做加密、授权与保留/删除。</w:t>
      </w:r>
    </w:p>
    <w:p>
      <w:pPr>
        <w:pStyle w:val="Heading1"/>
      </w:pPr>
      <w:r>
        <w:t>7. 最小可信 PoC</w:t>
      </w:r>
    </w:p>
    <w:p>
      <w:r>
        <w:rPr>
          <w:rFonts w:ascii="Arial" w:hAnsi="Arial" w:eastAsia="Noto Sans CJK SC"/>
          <w:b w:val="0"/>
          <w:i w:val="0"/>
          <w:sz w:val="22"/>
        </w:rPr>
        <w:t>建议从一个可在 CI 重复运行的小型验收开始：100 个虚拟设备，1 Hz；10 个 epoch，每个 10 秒；每个 epoch 1,000 条读数；一个网关生成一个批次对象；3 个跨故障域验证节点和一个独立审计存储。该规模来自旧提案，只是起点，不是现有性能证据。</w:t>
      </w:r>
      <w:r>
        <w:rPr>
          <w:rStyle w:val="EndnoteReference"/>
        </w:rPr>
        <w:endnoteReference w:id="18"/>
      </w:r>
    </w:p>
    <w:p>
      <w:pPr>
        <w:pStyle w:val="Heading2"/>
      </w:pPr>
      <w:r>
        <w:t>7.1 必过验收门</w:t>
      </w:r>
    </w:p>
    <w:p>
      <w:pPr>
        <w:pStyle w:val="MyelinNumber"/>
        <w:numPr>
          <w:ilvl w:val="0"/>
          <w:numId w:val="12"/>
        </w:numPr>
      </w:pPr>
      <w:r>
        <w:rPr>
          <w:rFonts w:ascii="Arial" w:hAnsi="Arial" w:eastAsia="Noto Sans CJK SC"/>
          <w:b w:val="0"/>
          <w:i w:val="0"/>
          <w:sz w:val="22"/>
        </w:rPr>
        <w:t>正常路径：所有验证节点产生完全一致的批次根、前/后状态根和结算增量；不同 finality 引擎只能改变共识证明，不得改变业务状态。</w:t>
      </w:r>
    </w:p>
    <w:p>
      <w:pPr>
        <w:pStyle w:val="MyelinNumber"/>
        <w:numPr>
          <w:ilvl w:val="0"/>
          <w:numId w:val="12"/>
        </w:numPr>
      </w:pPr>
      <w:r>
        <w:rPr>
          <w:rFonts w:ascii="Arial" w:hAnsi="Arial" w:eastAsia="Noto Sans CJK SC"/>
          <w:b w:val="0"/>
          <w:i w:val="0"/>
          <w:sz w:val="22"/>
        </w:rPr>
        <w:t>负向路径：篡改读数/签名、重复或回滚 counter、错误 epoch、错误前状态根、批次重排、重复设备、验证者 equivocation 全部拒绝且状态不变。</w:t>
      </w:r>
    </w:p>
    <w:p>
      <w:pPr>
        <w:pStyle w:val="MyelinNumber"/>
        <w:numPr>
          <w:ilvl w:val="0"/>
          <w:numId w:val="12"/>
        </w:numPr>
      </w:pPr>
      <w:r>
        <w:rPr>
          <w:rFonts w:ascii="Arial" w:hAnsi="Arial" w:eastAsia="Noto Sans CJK SC"/>
          <w:b w:val="0"/>
          <w:i w:val="0"/>
          <w:sz w:val="22"/>
        </w:rPr>
        <w:t>恢复路径：网关/验证节点重启、断连重试和 RocksDB 恢复后，head、outbox、sequence 与状态根一致。当前通用 session/network/store/state/consensus 定向测试 114 项通过，但这不是 IoT acceptance。</w:t>
      </w:r>
      <w:r>
        <w:rPr>
          <w:rStyle w:val="EndnoteReference"/>
        </w:rPr>
        <w:endnoteReference w:id="19"/>
      </w:r>
    </w:p>
    <w:p>
      <w:pPr>
        <w:pStyle w:val="MyelinNumber"/>
        <w:numPr>
          <w:ilvl w:val="0"/>
          <w:numId w:val="12"/>
        </w:numPr>
      </w:pPr>
      <w:r>
        <w:rPr>
          <w:rFonts w:ascii="Arial" w:hAnsi="Arial" w:eastAsia="Noto Sans CJK SC"/>
          <w:b w:val="0"/>
          <w:i w:val="0"/>
          <w:sz w:val="22"/>
        </w:rPr>
        <w:t>DA 路径：从独立故障域抽样取回原始记录和 Merkle 路径；缺少必需证书/探针时不得标记 production-ready。</w:t>
      </w:r>
    </w:p>
    <w:p>
      <w:pPr>
        <w:pStyle w:val="MyelinNumber"/>
        <w:numPr>
          <w:ilvl w:val="0"/>
          <w:numId w:val="12"/>
        </w:numPr>
      </w:pPr>
      <w:r>
        <w:rPr>
          <w:rFonts w:ascii="Arial" w:hAnsi="Arial" w:eastAsia="Noto Sans CJK SC"/>
          <w:b w:val="0"/>
          <w:i w:val="0"/>
          <w:sz w:val="22"/>
        </w:rPr>
        <w:t>CKB 路径：在 CKB 0.209.0 父 devnet 完成精确交易的 node validation、提交、包含证明、确认深度和模拟重组拒绝；公共测试网只验证紧凑 anchor/settlement，不声称 court verdict。</w:t>
      </w:r>
    </w:p>
    <w:p>
      <w:pPr>
        <w:pStyle w:val="MyelinNumber"/>
        <w:numPr>
          <w:ilvl w:val="0"/>
          <w:numId w:val="12"/>
        </w:numPr>
      </w:pPr>
      <w:r>
        <w:rPr>
          <w:rFonts w:ascii="Arial" w:hAnsi="Arial" w:eastAsia="Noto Sans CJK SC"/>
          <w:b w:val="0"/>
          <w:i w:val="0"/>
          <w:sz w:val="22"/>
        </w:rPr>
        <w:t>性能路径：报告 p50/p95/p99 批次 finality、VM cycles、每批字节、CPU/内存、RocksDB 增长、追赶时间与 CKB 锚定成本；是否达标由业务 SLA 决定，不预设不存在证据的数字。</w:t>
      </w:r>
    </w:p>
    <w:p>
      <w:pPr>
        <w:pStyle w:val="MyelinNumber"/>
        <w:numPr>
          <w:ilvl w:val="0"/>
          <w:numId w:val="12"/>
        </w:numPr>
      </w:pPr>
      <w:r>
        <w:rPr>
          <w:rFonts w:ascii="Arial" w:hAnsi="Arial" w:eastAsia="Noto Sans CJK SC"/>
          <w:b w:val="0"/>
          <w:i w:val="0"/>
          <w:sz w:val="22"/>
        </w:rPr>
        <w:t>运维路径：完成设备、网关、验证者、DA auditor 的密钥轮换/撤销演练，并固化链选择、RPC 端点与故障切换策略。</w:t>
      </w:r>
    </w:p>
    <w:p>
      <w:pPr>
        <w:pStyle w:val="Heading1"/>
      </w:pPr>
      <w:r>
        <w:t>8. Go / No-Go 规则</w:t>
      </w:r>
    </w:p>
    <w:p>
      <w:pPr>
        <w:pStyle w:val="MyelinCallout"/>
        <w:shd w:fill="EDF7ED"/>
        <w:pBdr>
          <w:left w:val="single" w:sz="18" w:space="8" w:color="2E7D32"/>
        </w:pBdr>
      </w:pPr>
      <w:r>
        <w:rPr>
          <w:rFonts w:ascii="Arial" w:hAnsi="Arial" w:eastAsia="Noto Sans CJK SC"/>
          <w:b w:val="0"/>
          <w:i w:val="0"/>
          <w:sz w:val="22"/>
        </w:rPr>
        <w:t>仅当业务同时需要多方共享或资产结算、批次可确定性重放、原始数据可独立取回、设备身份/撤销有外部方案、性能达到业务 SLA、且接受闭环验证者信任模型时，才进入试点。</w:t>
      </w:r>
    </w:p>
    <w:p>
      <w:r>
        <w:rPr>
          <w:rFonts w:ascii="Arial" w:hAnsi="Arial" w:eastAsia="Noto Sans CJK SC"/>
          <w:b w:val="0"/>
          <w:i w:val="0"/>
          <w:sz w:val="22"/>
        </w:rPr>
        <w:t>如果不存在跨方争议或资产结算，或者只是为了“把 IoT 放到链上”，应停止 Myelin PoC，退回“标准 IoT 平台 + 不可变日志/对象存储 + 周期性 CKB Merkle 根锚定”。</w:t>
      </w:r>
    </w:p>
    <w:p>
      <w:pPr>
        <w:pStyle w:val="Heading1"/>
      </w:pPr>
      <w:r>
        <w:t>9. 研究限制</w:t>
      </w:r>
    </w:p>
    <w:p>
      <w:r>
        <w:rPr>
          <w:rFonts w:ascii="Arial" w:hAnsi="Arial" w:eastAsia="Noto Sans CJK SC"/>
          <w:b w:val="0"/>
          <w:i w:val="0"/>
          <w:sz w:val="22"/>
        </w:rPr>
        <w:t>综合置信度为：架构判断中高，生产就绪度判断中低。结论有 Myelin 权威文档、源码/依赖/定向测试、CKB RFC/当前 release、IETF 与 NIST 资料支撑；限制是没有 IoT acceptance、没有目标硬件和业务 SLA、未运行完整 production gate、真实 DA/court 未在公共测试网部署。</w:t>
      </w:r>
    </w:p>
    <w:p>
      <w:r>
        <w:rPr>
          <w:rFonts w:ascii="Arial" w:hAnsi="Arial" w:eastAsia="Noto Sans CJK SC"/>
          <w:b w:val="0"/>
          <w:i w:val="0"/>
          <w:sz w:val="22"/>
        </w:rPr>
        <w:t>本报告没有把 wire-encoded 当作节点接收，没有把 node acceptance 当作链上承诺，没有把配置确认深度当作绝对最终性，也没有把本地 valid court bundle 当作链上裁决。</w:t>
      </w:r>
    </w:p>
    <w:p>
      <w:pPr>
        <w:pStyle w:val="Heading1"/>
        <w:pageBreakBefore/>
      </w:pPr>
      <w:r>
        <w:t>来源说明</w:t>
      </w:r>
    </w:p>
    <w:p>
      <w:pPr>
        <w:pStyle w:val="MyelinSmall"/>
      </w:pPr>
      <w:r>
        <w:rPr>
          <w:rFonts w:ascii="Arial" w:hAnsi="Arial" w:eastAsia="Noto Sans CJK SC"/>
          <w:b w:val="0"/>
          <w:i w:val="0"/>
          <w:sz w:val="22"/>
        </w:rPr>
        <w:t>正文中的上标编号为 Word 尾注，包含来源标题、发布方/作者、日期和可点击链接。内部检索台账与中间文件未作为交付物附带。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Myelin Labs，《Myelin README》，本地基线 v0.10.0-7，访问于 2026-08-24。该文档将 Myelin 定义为 research preview，并明确其不是 CKB 全节点、新 L1 或成熟无许可 L2。 </w:t>
      </w:r>
      <w:hyperlink r:id="rId1" w:history="1">
        <w:r>
          <w:rPr>
            <w:color w:val="0563C1"/>
            <w:u w:val="single"/>
            <w:sz w:val="18"/>
            <w:rFonts w:ascii="Arial" w:hAnsi="Arial"/>
          </w:rPr>
          <w:t>https://github.com/Myelin-Labs/Myelin/blob/main/README.md</w:t>
        </w:r>
      </w:hyperlink>
    </w:p>
  </w:endnote>
  <w:endnote w:id="2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Jan Xie, “Nervos CKB: A Common Knowledge Base for Crypto-Economy” (RFC 0002), Nervos Network, 2018。该 RFC 将 CKB 定位为验证/托管层，并把高性能状态生成留给上层。 </w:t>
      </w:r>
      <w:hyperlink r:id="rId2" w:history="1">
        <w:r>
          <w:rPr>
            <w:color w:val="0563C1"/>
            <w:u w:val="single"/>
            <w:sz w:val="18"/>
            <w:rFonts w:ascii="Arial" w:hAnsi="Arial"/>
          </w:rPr>
          <w:t>https://github.com/nervosnetwork/rfcs/blob/master/rfcs/0002-ckb/0002-ckb.md</w:t>
        </w:r>
      </w:hyperlink>
    </w:p>
  </w:endnote>
  <w:endnote w:id="3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Ian Yang, “CKB Transaction Structure” (RFC 0022), Nervos Network。Cell capacity 必须覆盖 data、lock、type 等字段，支持把 L1 用作紧凑承诺/结算层而非遥测仓库。 </w:t>
      </w:r>
      <w:hyperlink r:id="rId3" w:history="1">
        <w:r>
          <w:rPr>
            <w:color w:val="0563C1"/>
            <w:u w:val="single"/>
            <w:sz w:val="18"/>
            <w:rFonts w:ascii="Arial" w:hAnsi="Arial"/>
          </w:rPr>
          <w:t>https://github.com/nervosnetwork/rfcs/blob/master/rfcs/0022-transaction-structure/0022-transaction-structure.md</w:t>
        </w:r>
      </w:hyperlink>
    </w:p>
  </w:endnote>
  <w:endnote w:id="4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Xuejie Xiao, “CKB-VM” (RFC 0003), Nervos Network, Final, 2018。CKB-VM 使用 64 位 RISC-V、Linux ELF 和确定性的周期计量来验证交易脚本。 </w:t>
      </w:r>
      <w:hyperlink r:id="rId4" w:history="1">
        <w:r>
          <w:rPr>
            <w:color w:val="0563C1"/>
            <w:u w:val="single"/>
            <w:sz w:val="18"/>
            <w:rFonts w:ascii="Arial" w:hAnsi="Arial"/>
          </w:rPr>
          <w:t>https://github.com/nervosnetwork/rfcs/blob/master/rfcs/0003-ckb-vm/0003-ckb-vm.md</w:t>
        </w:r>
      </w:hyperlink>
    </w:p>
  </w:endnote>
  <w:endnote w:id="5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Myelin Labs，《Myelin Architecture》，访问于 2026-08-24。来源覆盖连续会话、持久恢复、网络、严格 VM、原子状态与闭环 finality 的真实边界。 </w:t>
      </w:r>
      <w:hyperlink r:id="rId5" w:history="1">
        <w:r>
          <w:rPr>
            <w:color w:val="0563C1"/>
            <w:u w:val="single"/>
            <w:sz w:val="18"/>
            <w:rFonts w:ascii="Arial" w:hAnsi="Arial"/>
          </w:rPr>
          <w:t>https://github.com/Myelin-Labs/Myelin/blob/main/docs/MYELIN_ARCHITECTURE.md</w:t>
        </w:r>
      </w:hyperlink>
    </w:p>
  </w:endnote>
  <w:endnote w:id="6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Myelin Labs，《Myelin CKB Projection Audit》，访问于 2026-08-24。来源定义 WireEncoded 至 Finalized 的逐级证据，以及确认深度并非绝对不可逆。 </w:t>
      </w:r>
      <w:hyperlink r:id="rId6" w:history="1">
        <w:r>
          <w:rPr>
            <w:color w:val="0563C1"/>
            <w:u w:val="single"/>
            <w:sz w:val="18"/>
            <w:rFonts w:ascii="Arial" w:hAnsi="Arial"/>
          </w:rPr>
          <w:t>https://github.com/Myelin-Labs/Myelin/blob/main/MYELIN_CKB_PROJECTION_AUDIT.md</w:t>
        </w:r>
      </w:hyperlink>
    </w:p>
  </w:endnote>
  <w:endnote w:id="7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C. Bormann et al., RFC 7228, “Terminology for Constrained-Node Networks,” IETF, May 2014。Class 0 设备通常依赖代理、网关或服务器；Class 1 设备需节制使用代码、状态和能源。 </w:t>
      </w:r>
      <w:hyperlink r:id="rId7" w:history="1">
        <w:r>
          <w:rPr>
            <w:color w:val="0563C1"/>
            <w:u w:val="single"/>
            <w:sz w:val="18"/>
            <w:rFonts w:ascii="Arial" w:hAnsi="Arial"/>
          </w:rPr>
          <w:t>https://www.rfc-editor.org/rfc/rfc7228.html</w:t>
        </w:r>
      </w:hyperlink>
    </w:p>
  </w:endnote>
  <w:endnote w:id="8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Myelin Labs，《Myelin Data-Availability Design》，访问于 2026-08-24。当前实现是 provider-neutral DA certificate core；真实 provider/auditor、分片和故障演练仍待完成。 </w:t>
      </w:r>
      <w:hyperlink r:id="rId8" w:history="1">
        <w:r>
          <w:rPr>
            <w:color w:val="0563C1"/>
            <w:u w:val="single"/>
            <w:sz w:val="18"/>
            <w:rFonts w:ascii="Arial" w:hAnsi="Arial"/>
          </w:rPr>
          <w:t>https://github.com/Myelin-Labs/Myelin/blob/main/docs/MYELIN_DA_DESIGN.md</w:t>
        </w:r>
      </w:hyperlink>
    </w:p>
  </w:endnote>
  <w:endnote w:id="9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Nervos Network, “CKB Light Client Reference Implementation,” 访问于 2026-08-24。官方实现基于 RFC 44/45，提供 Rust 二进制、浏览器 WASM、脚本过滤与 RPC。 </w:t>
      </w:r>
      <w:hyperlink r:id="rId9" w:history="1">
        <w:r>
          <w:rPr>
            <w:color w:val="0563C1"/>
            <w:u w:val="single"/>
            <w:sz w:val="18"/>
            <w:rFonts w:ascii="Arial" w:hAnsi="Arial"/>
          </w:rPr>
          <w:t>https://github.com/nervosnetwork/ckb-light-client</w:t>
        </w:r>
      </w:hyperlink>
    </w:p>
  </w:endnote>
  <w:endnote w:id="10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Ian Yang, “CKB Transaction Structure” (RFC 0022), Nervos Network。Cell capacity 必须覆盖 data、lock、type 等字段，支持把 L1 用作紧凑承诺/结算层而非遥测仓库。 </w:t>
      </w:r>
      <w:hyperlink r:id="rId10" w:history="1">
        <w:r>
          <w:rPr>
            <w:color w:val="0563C1"/>
            <w:u w:val="single"/>
            <w:sz w:val="18"/>
            <w:rFonts w:ascii="Arial" w:hAnsi="Arial"/>
          </w:rPr>
          <w:t>https://github.com/nervosnetwork/rfcs/blob/master/rfcs/0022-transaction-structure/0022-transaction-structure.md</w:t>
        </w:r>
      </w:hyperlink>
    </w:p>
  </w:endnote>
  <w:endnote w:id="11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Myelin Labs，《Pattern: IoT Metering》与《Myelin Use-Case Positioning》，访问于 2026-08-24。两者给出网关聚合的概念草图；IoT acceptance 仍明确标为 proposed。 </w:t>
      </w:r>
      <w:hyperlink r:id="rId11" w:history="1">
        <w:r>
          <w:rPr>
            <w:color w:val="0563C1"/>
            <w:u w:val="single"/>
            <w:sz w:val="18"/>
            <w:rFonts w:ascii="Arial" w:hAnsi="Arial"/>
          </w:rPr>
          <w:t>https://github.com/Myelin-Labs/Myelin/blob/main/MYELIN_USE_CASE_POSITIONING.md</w:t>
        </w:r>
      </w:hyperlink>
    </w:p>
  </w:endnote>
  <w:endnote w:id="12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Myelin Labs，公开 CKB 测试网多签证据归档，2026-07-29。证据覆盖标准锁和 canonical 2-of-3 multisig；归档明确不代表 verifier/court/settlement/DA 已部署。 </w:t>
      </w:r>
      <w:hyperlink r:id="rId12" w:history="1">
        <w:r>
          <w:rPr>
            <w:color w:val="0563C1"/>
            <w:u w:val="single"/>
            <w:sz w:val="18"/>
            <w:rFonts w:ascii="Arial" w:hAnsi="Arial"/>
          </w:rPr>
          <w:t>https://github.com/Myelin-Labs/Myelin/tree/main/evidence/ckb-testnet/2026-07-29-multisig</w:t>
        </w:r>
      </w:hyperlink>
    </w:p>
  </w:endnote>
  <w:endnote w:id="13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Myelin Labs，《Myelin Architecture》，Projection and court evidence 章节。当前 court bundle 只检查内部可复现性，court_verifiable=false；真实链上 court verdict 仍不存在。 </w:t>
      </w:r>
      <w:hyperlink r:id="rId13" w:history="1">
        <w:r>
          <w:rPr>
            <w:color w:val="0563C1"/>
            <w:u w:val="single"/>
            <w:sz w:val="18"/>
            <w:rFonts w:ascii="Arial" w:hAnsi="Arial"/>
          </w:rPr>
          <w:t>https://github.com/Myelin-Labs/Myelin/blob/main/docs/MYELIN_ARCHITECTURE.md#projection-and-court-evidence</w:t>
        </w:r>
      </w:hyperlink>
    </w:p>
  </w:endnote>
  <w:endnote w:id="14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H. Birkholz et al., RFC 9334, “Remote ATtestation procedureS (RATS) Architecture,” IETF, January 2023。来源区分 Attester、Verifier、Relying Party，并强调 attestation key 与制造/配置流程的保护。 </w:t>
      </w:r>
      <w:hyperlink r:id="rId14" w:history="1">
        <w:r>
          <w:rPr>
            <w:color w:val="0563C1"/>
            <w:u w:val="single"/>
            <w:sz w:val="18"/>
            <w:rFonts w:ascii="Arial" w:hAnsi="Arial"/>
          </w:rPr>
          <w:t>https://www.rfc-editor.org/rfc/rfc9334.html</w:t>
        </w:r>
      </w:hyperlink>
    </w:p>
  </w:endnote>
  <w:endnote w:id="15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NIST IR 8259A, “IoT Device Cybersecurity Capability Core Baseline,” May 2020；NIST 技术能力目录，访问于 2026-08-24。基线包括设备识别、配置、数据保护、接口访问控制、安全更新与安全状态感知。 </w:t>
      </w:r>
      <w:hyperlink r:id="rId15" w:history="1">
        <w:r>
          <w:rPr>
            <w:color w:val="0563C1"/>
            <w:u w:val="single"/>
            <w:sz w:val="18"/>
            <w:rFonts w:ascii="Arial" w:hAnsi="Arial"/>
          </w:rPr>
          <w:t>https://csrc.nist.gov/pubs/ir/8259/a/final</w:t>
        </w:r>
      </w:hyperlink>
    </w:p>
  </w:endnote>
  <w:endnote w:id="16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Nervos Network, CKB Releases, v0.209.0, 2026-07-29。Myelin 权威文档记录的父 CKB 集成 devnet 为 0.207.0；差异意味着需要回归验证，不等于已知不兼容。 </w:t>
      </w:r>
      <w:hyperlink r:id="rId16" w:history="1">
        <w:r>
          <w:rPr>
            <w:color w:val="0563C1"/>
            <w:u w:val="single"/>
            <w:sz w:val="18"/>
            <w:rFonts w:ascii="Arial" w:hAnsi="Arial"/>
          </w:rPr>
          <w:t>https://github.com/nervosnetwork/ckb/releases/tag/v0.209.0</w:t>
        </w:r>
      </w:hyperlink>
    </w:p>
  </w:endnote>
  <w:endnote w:id="17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Myelin Labs，《Myelin Architecture》，Current risk register and next steps。来源列出 public-testnet verifier/court、生产 DA、密钥流程、差分/fuzz/soak、multi-parent overlay 与真实争用基准等剩余工作。 </w:t>
      </w:r>
      <w:hyperlink r:id="rId17" w:history="1">
        <w:r>
          <w:rPr>
            <w:color w:val="0563C1"/>
            <w:u w:val="single"/>
            <w:sz w:val="18"/>
            <w:rFonts w:ascii="Arial" w:hAnsi="Arial"/>
          </w:rPr>
          <w:t>https://github.com/Myelin-Labs/Myelin/blob/main/docs/MYELIN_ARCHITECTURE.md#current-risk-register-and-next-steps</w:t>
        </w:r>
      </w:hyperlink>
    </w:p>
  </w:endnote>
  <w:endnote w:id="18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Myelin Labs，《Pattern: IoT Metering》与《Myelin Use-Case Positioning》，访问于 2026-08-24。两者给出网关聚合的概念草图；IoT acceptance 仍明确标为 proposed。 </w:t>
      </w:r>
      <w:hyperlink r:id="rId18" w:history="1">
        <w:r>
          <w:rPr>
            <w:color w:val="0563C1"/>
            <w:u w:val="single"/>
            <w:sz w:val="18"/>
            <w:rFonts w:ascii="Arial" w:hAnsi="Arial"/>
          </w:rPr>
          <w:t>https://github.com/Myelin-Labs/Myelin/blob/main/MYELIN_USE_CASE_POSITIONING.md</w:t>
        </w:r>
      </w:hyperlink>
    </w:p>
  </w:endnote>
  <w:endnote w:id="19">
    <w:p>
      <w:pPr>
        <w:spacing w:after="80" w:line="240" w:lineRule="auto"/>
      </w:pPr>
      <w:r>
        <w:rPr>
          <w:vertAlign w:val="superscript"/>
          <w:sz w:val="18"/>
          <w:rFonts w:ascii="Arial" w:hAnsi="Arial" w:eastAsia="Noto Sans CJK SC"/>
        </w:rPr>
        <w:endnoteRef/>
        <w:t xml:space="preserve"> </w:t>
      </w:r>
      <w:r>
        <w:rPr>
          <w:sz w:val="18"/>
          <w:rFonts w:ascii="Arial" w:hAnsi="Arial" w:eastAsia="Noto Sans CJK SC"/>
        </w:rPr>
        <w:t xml:space="preserve">本次本地复核记录，2026-08-24：在提交 35896f5 上运行 myelin-session、session-network、session-store-rocksdb、state、consensus 的定向 cargo test，共 114 项通过；未运行完整 production gate，也不是 IoT acceptance。 </w:t>
      </w:r>
      <w:hyperlink r:id="rId19" w:history="1">
        <w:r>
          <w:rPr>
            <w:color w:val="0563C1"/>
            <w:u w:val="single"/>
            <w:sz w:val="18"/>
            <w:rFonts w:ascii="Arial" w:hAnsi="Arial"/>
          </w:rPr>
          <w:t>https://github.com/Myelin-Labs/Myelin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Noto Sans CJK SC"/>
        <w:b w:val="0"/>
        <w:color w:val="5B6573"/>
        <w:sz w:val="18"/>
      </w:rPr>
      <w:t xml:space="preserve">研究日期 2026-08-24  ·  第 </w:t>
    </w:r>
    <w:fldSimple w:instr="PAGE">
      <w:r>
        <w:rPr>
          <w:rFonts w:ascii="Arial" w:hAnsi="Arial" w:eastAsia="Noto Sans CJK SC"/>
          <w:color w:val="5B6573"/>
          <w:sz w:val="18"/>
        </w:rPr>
        <w:t>1</w:t>
      </w:r>
    </w:fldSimple>
    <w:r>
      <w:rPr>
        <w:rFonts w:ascii="Arial" w:hAnsi="Arial" w:eastAsia="Noto Sans CJK SC"/>
        <w:b w:val="0"/>
        <w:color w:val="5B6573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Noto Sans CJK SC"/>
        <w:b w:val="0"/>
        <w:color w:val="5B6573"/>
        <w:sz w:val="18"/>
      </w:rPr>
      <w:t xml:space="preserve">研究日期 2026-08-24  ·  第 </w:t>
    </w:r>
    <w:fldSimple w:instr="PAGE">
      <w:r>
        <w:rPr>
          <w:rFonts w:ascii="Arial" w:hAnsi="Arial" w:eastAsia="Noto Sans CJK SC"/>
          <w:color w:val="5B6573"/>
          <w:sz w:val="18"/>
        </w:rPr>
        <w:t>1</w:t>
      </w:r>
    </w:fldSimple>
    <w:r>
      <w:rPr>
        <w:rFonts w:ascii="Arial" w:hAnsi="Arial" w:eastAsia="Noto Sans CJK SC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Noto Sans CJK SC"/>
        <w:b/>
        <w:color w:val="5B6573"/>
        <w:sz w:val="17"/>
      </w:rPr>
      <w:t>MYELIN / CKB IOT 适配性研究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Noto Sans CJK SC"/>
        <w:b/>
        <w:color w:val="5B6573"/>
        <w:sz w:val="17"/>
      </w:rPr>
      <w:t>MYELIN / CKB IOT 适配性研究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ndnotePr>
    <w:numFmt w:val="decimal"/>
    <w:numStart w:val="1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" w:hAnsi="Arial" w:eastAsia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i w:val="0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52" w:lineRule="auto"/>
    </w:pPr>
    <w:rPr>
      <w:rFonts w:asciiTheme="majorHAnsi" w:eastAsiaTheme="majorEastAsia" w:hAnsiTheme="majorHAnsi" w:cstheme="majorBidi" w:ascii="Arial" w:hAnsi="Arial" w:eastAsia="Noto Sans CJK SC"/>
      <w:b w:val="0"/>
      <w:i w:val="0"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elinMeta">
    <w:name w:val="Myelin Meta"/>
    <w:basedOn w:val="Normal"/>
    <w:pPr>
      <w:spacing w:after="40" w:line="240" w:lineRule="auto"/>
    </w:pPr>
    <w:rPr>
      <w:rFonts w:ascii="Arial" w:hAnsi="Arial" w:eastAsia="Noto Sans CJK SC"/>
      <w:b w:val="0"/>
      <w:i w:val="0"/>
      <w:color w:val="5B6573"/>
      <w:sz w:val="19"/>
    </w:rPr>
  </w:style>
  <w:style w:type="paragraph" w:customStyle="1" w:styleId="MyelinLead">
    <w:name w:val="Myelin Lead"/>
    <w:basedOn w:val="Normal"/>
    <w:pPr>
      <w:spacing w:before="160" w:after="200" w:line="288" w:lineRule="auto"/>
    </w:pPr>
    <w:rPr>
      <w:rFonts w:ascii="Arial" w:hAnsi="Arial" w:eastAsia="Noto Sans CJK SC"/>
      <w:b/>
      <w:i w:val="0"/>
      <w:color w:val="0B2545"/>
      <w:sz w:val="24"/>
    </w:rPr>
  </w:style>
  <w:style w:type="paragraph" w:customStyle="1" w:styleId="MyelinBullet">
    <w:name w:val="Myelin Bullet"/>
    <w:basedOn w:val="Normal"/>
    <w:pPr>
      <w:spacing w:before="0" w:after="160" w:line="280" w:lineRule="auto"/>
    </w:pPr>
    <w:rPr>
      <w:rFonts w:ascii="Arial" w:hAnsi="Arial" w:eastAsia="Noto Sans CJK SC"/>
      <w:b w:val="0"/>
      <w:i w:val="0"/>
      <w:color w:val="000000"/>
      <w:sz w:val="22"/>
    </w:rPr>
  </w:style>
  <w:style w:type="paragraph" w:customStyle="1" w:styleId="MyelinNumber">
    <w:name w:val="Myelin Number"/>
    <w:basedOn w:val="Normal"/>
    <w:pPr>
      <w:spacing w:before="0" w:after="160" w:line="280" w:lineRule="auto"/>
    </w:pPr>
    <w:rPr>
      <w:rFonts w:ascii="Arial" w:hAnsi="Arial" w:eastAsia="Noto Sans CJK SC"/>
      <w:b w:val="0"/>
      <w:i w:val="0"/>
      <w:color w:val="000000"/>
      <w:sz w:val="22"/>
    </w:rPr>
  </w:style>
  <w:style w:type="paragraph" w:customStyle="1" w:styleId="MyelinSmall">
    <w:name w:val="Myelin Small"/>
    <w:basedOn w:val="Normal"/>
    <w:pPr>
      <w:spacing w:after="80" w:line="264" w:lineRule="auto"/>
    </w:pPr>
    <w:rPr>
      <w:rFonts w:ascii="Arial" w:hAnsi="Arial" w:eastAsia="Noto Sans CJK SC"/>
      <w:b w:val="0"/>
      <w:i w:val="0"/>
      <w:color w:val="5B6573"/>
      <w:sz w:val="19"/>
    </w:rPr>
  </w:style>
  <w:style w:type="paragraph" w:customStyle="1" w:styleId="MyelinCallout">
    <w:name w:val="Myelin Callout"/>
    <w:basedOn w:val="Normal"/>
    <w:pPr>
      <w:spacing w:before="120" w:after="200" w:line="276" w:lineRule="auto"/>
      <w:ind w:left="202" w:right="115"/>
    </w:pPr>
    <w:rPr>
      <w:rFonts w:ascii="Arial" w:hAnsi="Arial" w:eastAsia="Noto Sans CJK SC"/>
      <w:b/>
      <w:i w:val="0"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endnotes" Target="endnotes.xml"/></Relationships>
</file>

<file path=word/_rels/endnotes.xml.rels><?xml version="1.0" encoding="UTF-8" standalone="yes"?><Relationships xmlns="http://schemas.openxmlformats.org/package/2006/relationships"><Relationship Id="rId1" Type="http://schemas.openxmlformats.org/officeDocument/2006/relationships/hyperlink" Target="https://github.com/Myelin-Labs/Myelin/blob/main/README.md" TargetMode="External"/><Relationship Id="rId2" Type="http://schemas.openxmlformats.org/officeDocument/2006/relationships/hyperlink" Target="https://github.com/nervosnetwork/rfcs/blob/master/rfcs/0002-ckb/0002-ckb.md" TargetMode="External"/><Relationship Id="rId3" Type="http://schemas.openxmlformats.org/officeDocument/2006/relationships/hyperlink" Target="https://github.com/nervosnetwork/rfcs/blob/master/rfcs/0022-transaction-structure/0022-transaction-structure.md" TargetMode="External"/><Relationship Id="rId4" Type="http://schemas.openxmlformats.org/officeDocument/2006/relationships/hyperlink" Target="https://github.com/nervosnetwork/rfcs/blob/master/rfcs/0003-ckb-vm/0003-ckb-vm.md" TargetMode="External"/><Relationship Id="rId5" Type="http://schemas.openxmlformats.org/officeDocument/2006/relationships/hyperlink" Target="https://github.com/Myelin-Labs/Myelin/blob/main/docs/MYELIN_ARCHITECTURE.md" TargetMode="External"/><Relationship Id="rId6" Type="http://schemas.openxmlformats.org/officeDocument/2006/relationships/hyperlink" Target="https://github.com/Myelin-Labs/Myelin/blob/main/MYELIN_CKB_PROJECTION_AUDIT.md" TargetMode="External"/><Relationship Id="rId7" Type="http://schemas.openxmlformats.org/officeDocument/2006/relationships/hyperlink" Target="https://www.rfc-editor.org/rfc/rfc7228.html" TargetMode="External"/><Relationship Id="rId8" Type="http://schemas.openxmlformats.org/officeDocument/2006/relationships/hyperlink" Target="https://github.com/Myelin-Labs/Myelin/blob/main/docs/MYELIN_DA_DESIGN.md" TargetMode="External"/><Relationship Id="rId9" Type="http://schemas.openxmlformats.org/officeDocument/2006/relationships/hyperlink" Target="https://github.com/nervosnetwork/ckb-light-client" TargetMode="External"/><Relationship Id="rId10" Type="http://schemas.openxmlformats.org/officeDocument/2006/relationships/hyperlink" Target="https://github.com/nervosnetwork/rfcs/blob/master/rfcs/0022-transaction-structure/0022-transaction-structure.md" TargetMode="External"/><Relationship Id="rId11" Type="http://schemas.openxmlformats.org/officeDocument/2006/relationships/hyperlink" Target="https://github.com/Myelin-Labs/Myelin/blob/main/MYELIN_USE_CASE_POSITIONING.md" TargetMode="External"/><Relationship Id="rId12" Type="http://schemas.openxmlformats.org/officeDocument/2006/relationships/hyperlink" Target="https://github.com/Myelin-Labs/Myelin/tree/main/evidence/ckb-testnet/2026-07-29-multisig" TargetMode="External"/><Relationship Id="rId13" Type="http://schemas.openxmlformats.org/officeDocument/2006/relationships/hyperlink" Target="https://github.com/Myelin-Labs/Myelin/blob/main/docs/MYELIN_ARCHITECTURE.md#projection-and-court-evidence" TargetMode="External"/><Relationship Id="rId14" Type="http://schemas.openxmlformats.org/officeDocument/2006/relationships/hyperlink" Target="https://www.rfc-editor.org/rfc/rfc9334.html" TargetMode="External"/><Relationship Id="rId15" Type="http://schemas.openxmlformats.org/officeDocument/2006/relationships/hyperlink" Target="https://csrc.nist.gov/pubs/ir/8259/a/final" TargetMode="External"/><Relationship Id="rId16" Type="http://schemas.openxmlformats.org/officeDocument/2006/relationships/hyperlink" Target="https://github.com/nervosnetwork/ckb/releases/tag/v0.209.0" TargetMode="External"/><Relationship Id="rId17" Type="http://schemas.openxmlformats.org/officeDocument/2006/relationships/hyperlink" Target="https://github.com/Myelin-Labs/Myelin/blob/main/docs/MYELIN_ARCHITECTURE.md#current-risk-register-and-next-steps" TargetMode="External"/><Relationship Id="rId18" Type="http://schemas.openxmlformats.org/officeDocument/2006/relationships/hyperlink" Target="https://github.com/Myelin-Labs/Myelin/blob/main/MYELIN_USE_CASE_POSITIONING.md" TargetMode="External"/><Relationship Id="rId19" Type="http://schemas.openxmlformats.org/officeDocument/2006/relationships/hyperlink" Target="https://github.com/Myelin-Labs/Myel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Myelin 用于 CKB 物联网方案的适配性研究</dc:title>
  <dc:subject>适配性、架构边界与 PoC 决策建议</dc:subject>
  <dc:creator>OpenAI Codex</dc:creator>
  <cp:keywords>Myelin, CKB, IoT, 物联网, 边缘网关, Cell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