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80" w:before="0"/>
        <w:jc w:val="center"/>
      </w:pPr>
      <w:r>
        <w:rPr>
          <w:rFonts w:ascii="Times New Roman" w:cs="Times New Roman" w:eastAsia="Times New Roman" w:hAnsi="Times New Roman"/>
          <w:b/>
          <w:bCs/>
          <w:color w:val="000000"/>
          <w:sz w:val="32"/>
          <w:szCs w:val="32"/>
        </w:rPr>
        <w:t xml:space="preserve">A Proposed AI-Powered Scholarship Matching System</w:t>
      </w:r>
    </w:p>
    <w:p>
      <w:pPr>
        <w:spacing w:after="280" w:before="0"/>
        <w:jc w:val="center"/>
      </w:pPr>
      <w:r>
        <w:rPr>
          <w:rFonts w:ascii="Times New Roman" w:cs="Times New Roman" w:eastAsia="Times New Roman" w:hAnsi="Times New Roman"/>
          <w:b/>
          <w:bCs/>
          <w:color w:val="000000"/>
          <w:sz w:val="32"/>
          <w:szCs w:val="32"/>
        </w:rPr>
        <w:t xml:space="preserve">for Malaysian Secondary School SPM Students</w:t>
      </w:r>
    </w:p>
    <w:p>
      <w:pPr>
        <w:spacing w:after="60" w:before="0"/>
        <w:jc w:val="center"/>
      </w:pPr>
      <w:r>
        <w:rPr>
          <w:rFonts w:ascii="Times New Roman" w:cs="Times New Roman" w:eastAsia="Times New Roman" w:hAnsi="Times New Roman"/>
          <w:b/>
          <w:bCs/>
          <w:color w:val="000000"/>
          <w:sz w:val="24"/>
          <w:szCs w:val="24"/>
        </w:rPr>
        <w:t xml:space="preserve">Ts. Ahmad Syahril bin Mohd</w:t>
      </w:r>
    </w:p>
    <w:p>
      <w:pPr>
        <w:spacing w:after="60" w:before="0"/>
        <w:jc w:val="center"/>
      </w:pPr>
      <w:r>
        <w:rPr>
          <w:rFonts w:ascii="Times New Roman" w:cs="Times New Roman" w:eastAsia="Times New Roman" w:hAnsi="Times New Roman"/>
          <w:i/>
          <w:iCs/>
          <w:color w:val="374151"/>
          <w:sz w:val="22"/>
          <w:szCs w:val="22"/>
        </w:rPr>
        <w:t xml:space="preserve">a Malaysian secondary school</w:t>
      </w:r>
    </w:p>
    <w:p>
      <w:pPr>
        <w:spacing w:after="400" w:before="0"/>
        <w:jc w:val="center"/>
      </w:pPr>
      <w:r>
        <w:rPr>
          <w:rFonts w:ascii="Times New Roman" w:cs="Times New Roman" w:eastAsia="Times New Roman" w:hAnsi="Times New Roman"/>
          <w:color w:val="374151"/>
          <w:sz w:val="22"/>
          <w:szCs w:val="22"/>
        </w:rPr>
        <w:t xml:space="preserve">syahril@iegcampus.com</w:t>
      </w:r>
    </w:p>
    <w:p>
      <w:pPr>
        <w:pBdr>
          <w:bottom w:val="single" w:color="1E3A5F" w:sz="6"/>
        </w:pBdr>
        <w:spacing w:after="320" w:before="0"/>
      </w:pPr>
    </w:p>
    <w:p>
      <w:pPr>
        <w:spacing w:after="160" w:before="0"/>
        <w:jc w:val="center"/>
      </w:pPr>
      <w:r>
        <w:rPr>
          <w:rFonts w:ascii="Times New Roman" w:cs="Times New Roman" w:eastAsia="Times New Roman" w:hAnsi="Times New Roman"/>
          <w:b/>
          <w:bCs/>
          <w:color w:val="000000"/>
          <w:sz w:val="26"/>
          <w:szCs w:val="26"/>
        </w:rPr>
        <w:t xml:space="preserve">Abstract</w:t>
      </w:r>
    </w:p>
    <w:p>
      <w:pPr>
        <w:spacing w:after="120" w:before="0"/>
        <w:ind w:left="720" w:right="720"/>
        <w:jc w:val="both"/>
      </w:pPr>
      <w:r>
        <w:rPr>
          <w:rFonts w:ascii="Times New Roman" w:cs="Times New Roman" w:eastAsia="Times New Roman" w:hAnsi="Times New Roman"/>
          <w:i/>
          <w:iCs/>
          <w:color w:val="374151"/>
          <w:sz w:val="22"/>
          <w:szCs w:val="22"/>
        </w:rPr>
        <w:t xml:space="preserve">Scholarship matching in Malaysian secondary schools is still largely done by hand. Counsellors go through student records one by one, usually focusing only on academic grades, and many students end up missing out on scholarships they actually qualify for. This paper proposes an AI-powered scholarship matching system designed to help Malaysian secondary school students find scholarships that best suit their profile after sitting for SPM. The system uses three automated agents that work in sequence: the first reads student data from four sources, the second scores each student against available scholarships using five criteria, and the third produces a personalised recommendation report in both Bahasa Malaysia and English. Instead of looking only at academic results, The system also considers co-curricular involvement, personality type (based on RIASEC), career aspirations, and family income level. The system is built using Node.js, Python, and the Groq API, and follows the Design Science Research (DSR) approach. The system is designed to help counsellors work more efficiently and ensure that students, especially those from lower-income families, get fair and relevant scholarship guidance.</w:t>
      </w:r>
    </w:p>
    <w:p>
      <w:pPr>
        <w:spacing w:after="80" w:before="0"/>
      </w:pPr>
      <w:r>
        <w:t xml:space="preserve"/>
      </w:r>
    </w:p>
    <w:p>
      <w:pPr>
        <w:spacing w:after="0" w:before="0"/>
        <w:ind w:left="720" w:right="720"/>
      </w:pPr>
      <w:r>
        <w:rPr>
          <w:rFonts w:ascii="Times New Roman" w:cs="Times New Roman" w:eastAsia="Times New Roman" w:hAnsi="Times New Roman"/>
          <w:b/>
          <w:bCs/>
          <w:color w:val="000000"/>
          <w:sz w:val="22"/>
          <w:szCs w:val="22"/>
        </w:rPr>
        <w:t xml:space="preserve">Keywords: </w:t>
      </w:r>
      <w:r>
        <w:rPr>
          <w:rFonts w:ascii="Times New Roman" w:cs="Times New Roman" w:eastAsia="Times New Roman" w:hAnsi="Times New Roman"/>
          <w:i/>
          <w:iCs/>
          <w:color w:val="000000"/>
          <w:sz w:val="22"/>
          <w:szCs w:val="22"/>
        </w:rPr>
        <w:t xml:space="preserve">Agentic AI, Multi-Agent Systems, Scholarship Matching, Design Science Research, DELIMa, Large Language Models, Malaysian Secondary Education</w:t>
      </w:r>
    </w:p>
    <w:p>
      <w:pPr>
        <w:pBdr>
          <w:bottom w:val="single" w:color="1E3A5F" w:sz="6"/>
        </w:pBdr>
        <w:spacing w:after="320" w:before="320"/>
      </w:pPr>
    </w:p>
    <w:p>
      <w:pPr>
        <w:pStyle w:val="Heading1"/>
        <w:spacing w:after="160" w:before="400"/>
      </w:pPr>
      <w:r>
        <w:rPr>
          <w:rFonts w:ascii="Times New Roman" w:cs="Times New Roman" w:eastAsia="Times New Roman" w:hAnsi="Times New Roman"/>
          <w:b/>
          <w:bCs/>
          <w:color w:val="000000"/>
          <w:sz w:val="26"/>
          <w:szCs w:val="26"/>
        </w:rPr>
        <w:t xml:space="preserve">1. Introduction</w:t>
      </w:r>
    </w:p>
    <w:p>
      <w:pPr>
        <w:pStyle w:val="Heading2"/>
        <w:spacing w:after="120" w:before="260"/>
      </w:pPr>
      <w:r>
        <w:rPr>
          <w:rFonts w:ascii="Times New Roman" w:cs="Times New Roman" w:eastAsia="Times New Roman" w:hAnsi="Times New Roman"/>
          <w:b/>
          <w:bCs/>
          <w:color w:val="000000"/>
          <w:sz w:val="24"/>
          <w:szCs w:val="24"/>
        </w:rPr>
        <w:t xml:space="preserve">1.1 Institutional Context and Background</w:t>
      </w:r>
    </w:p>
    <w:p>
      <w:pPr>
        <w:spacing w:after="160" w:before="0" w:line="280"/>
        <w:ind w:firstLine="720"/>
        <w:jc w:val="both"/>
      </w:pPr>
      <w:r>
        <w:rPr>
          <w:rFonts w:ascii="Times New Roman" w:cs="Times New Roman" w:eastAsia="Times New Roman" w:hAnsi="Times New Roman"/>
          <w:color w:val="000000"/>
          <w:sz w:val="24"/>
          <w:szCs w:val="24"/>
        </w:rPr>
        <w:t xml:space="preserve">Malaysia's Ministry of Education has invested significantly in digital tools for schools, including the DELIMa platform, which brings together various aspects of school management under one system. Despite this progress, one area that has not caught up is scholarship guidance. In most secondary schools, the process of helping students find and apply for scholarships is still done manually, relying heavily on individual teachers or counsellors.</w:t>
      </w:r>
    </w:p>
    <w:p>
      <w:pPr>
        <w:spacing w:after="160" w:before="0" w:line="280"/>
        <w:ind w:firstLine="720"/>
        <w:jc w:val="both"/>
      </w:pPr>
      <w:r>
        <w:rPr>
          <w:rFonts w:ascii="Times New Roman" w:cs="Times New Roman" w:eastAsia="Times New Roman" w:hAnsi="Times New Roman"/>
          <w:color w:val="000000"/>
          <w:sz w:val="24"/>
          <w:szCs w:val="24"/>
        </w:rPr>
        <w:t xml:space="preserve">In most secondary schools, scholarship advisory is done through teacher-led sessions and manual checking of student files. The problem is that a teacher cannot fairly assess every student individually, and the process tends to focus only on exam results. Factors like co-curricular involvement, personality, career goals, and family income are often left out. As a result, some students who are actually quite suitable for certain scholarships simply do not find out about them in time.</w:t>
      </w:r>
    </w:p>
    <w:p>
      <w:pPr>
        <w:pStyle w:val="Heading2"/>
        <w:spacing w:after="120" w:before="260"/>
      </w:pPr>
      <w:r>
        <w:rPr>
          <w:rFonts w:ascii="Times New Roman" w:cs="Times New Roman" w:eastAsia="Times New Roman" w:hAnsi="Times New Roman"/>
          <w:b/>
          <w:bCs/>
          <w:color w:val="000000"/>
          <w:sz w:val="24"/>
          <w:szCs w:val="24"/>
        </w:rPr>
        <w:t xml:space="preserve">1.2 Problem Statement</w:t>
      </w:r>
    </w:p>
    <w:p>
      <w:pPr>
        <w:spacing w:after="160" w:before="0" w:line="280"/>
        <w:ind w:firstLine="720"/>
        <w:jc w:val="both"/>
      </w:pPr>
      <w:r>
        <w:rPr>
          <w:rFonts w:ascii="Times New Roman" w:cs="Times New Roman" w:eastAsia="Times New Roman" w:hAnsi="Times New Roman"/>
          <w:color w:val="000000"/>
          <w:sz w:val="24"/>
          <w:szCs w:val="24"/>
        </w:rPr>
        <w:t xml:space="preserve">The main problem this study tries to solve is that students do not always know which scholarships are right for them, and the current system is not designed to help with that properly. There are three main reasons why this happens:</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Scattered data: A student's information, including exam grades, co-curricular scores, personality test results, and family income, is kept in four separate Excel files. There is no system that brings all of this together automatically.</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One-size-fits-all matching: Most scholarship advice is based mainly on how many A's a student scored in SPM. This ignores things like personality type, leadership experience, and what the student actually wants to do in the future.</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Too many students, too little time: A single counsellor simply cannot give thorough, personalised scholarship advice to every student at the same time, especially when exam preparation is already taking up most of the school's attention.</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The combined effect is that deserving students miss out on scholarships that would suit them well, and neither the student nor the school has a clear record of how the recommendation was made or why.</w:t>
      </w:r>
    </w:p>
    <w:p>
      <w:pPr>
        <w:pStyle w:val="Heading2"/>
        <w:spacing w:after="120" w:before="260"/>
      </w:pPr>
      <w:r>
        <w:rPr>
          <w:rFonts w:ascii="Times New Roman" w:cs="Times New Roman" w:eastAsia="Times New Roman" w:hAnsi="Times New Roman"/>
          <w:b/>
          <w:bCs/>
          <w:color w:val="000000"/>
          <w:sz w:val="24"/>
          <w:szCs w:val="24"/>
        </w:rPr>
        <w:t xml:space="preserve">1.3 Strategic Policy Alignment</w:t>
      </w:r>
    </w:p>
    <w:p>
      <w:pPr>
        <w:spacing w:after="160" w:before="0" w:line="280"/>
        <w:ind w:firstLine="720"/>
        <w:jc w:val="both"/>
      </w:pPr>
      <w:r>
        <w:rPr>
          <w:rFonts w:ascii="Times New Roman" w:cs="Times New Roman" w:eastAsia="Times New Roman" w:hAnsi="Times New Roman"/>
          <w:color w:val="000000"/>
          <w:sz w:val="24"/>
          <w:szCs w:val="24"/>
        </w:rPr>
        <w:t xml:space="preserve">The system is designed in direct alignment with the Ministry of Education Malaysia's Pelan Pembangunan Pendidikan Malaysia (PPPM) 2013–2025 and the National Digital Education Policy (Dasar Pendidikan Digital). The system directly supports two of DELIMa's operational priorities: (1) the transition from transactional data storage to intelligent, advisory-grade data utilisation; and (2) the promotion of equitable scholarship access for students from B40 and M40 household income categories through data-driven recommendation mechanisms.</w:t>
      </w:r>
    </w:p>
    <w:p>
      <w:pPr>
        <w:spacing w:after="160" w:before="0" w:line="280"/>
        <w:ind w:firstLine="720"/>
        <w:jc w:val="both"/>
      </w:pPr>
      <w:r>
        <w:rPr>
          <w:rFonts w:ascii="Times New Roman" w:cs="Times New Roman" w:eastAsia="Times New Roman" w:hAnsi="Times New Roman"/>
          <w:color w:val="000000"/>
          <w:sz w:val="24"/>
          <w:szCs w:val="24"/>
        </w:rPr>
        <w:t xml:space="preserve">Furthermore, the adoption of the Groq API (llama-3.3-70b-versatile) as its large language model backbone situates the system within Malaysia's National AI Roadmap 2021–2025, which advocates for the deployment of localised intelligent tools within public sector service delivery, particularly in education.</w:t>
      </w:r>
    </w:p>
    <w:p>
      <w:pPr>
        <w:pStyle w:val="Heading2"/>
        <w:spacing w:after="120" w:before="260"/>
      </w:pPr>
      <w:r>
        <w:rPr>
          <w:rFonts w:ascii="Times New Roman" w:cs="Times New Roman" w:eastAsia="Times New Roman" w:hAnsi="Times New Roman"/>
          <w:b/>
          <w:bCs/>
          <w:color w:val="000000"/>
          <w:sz w:val="24"/>
          <w:szCs w:val="24"/>
        </w:rPr>
        <w:t xml:space="preserve">1.4 Research Objectives</w:t>
      </w:r>
    </w:p>
    <w:p>
      <w:pPr>
        <w:spacing w:after="160" w:before="0" w:line="280"/>
        <w:ind w:firstLine="720"/>
        <w:jc w:val="both"/>
      </w:pPr>
      <w:r>
        <w:rPr>
          <w:rFonts w:ascii="Times New Roman" w:cs="Times New Roman" w:eastAsia="Times New Roman" w:hAnsi="Times New Roman"/>
          <w:color w:val="000000"/>
          <w:sz w:val="24"/>
          <w:szCs w:val="24"/>
        </w:rPr>
        <w:t xml:space="preserve">This study has three main objectives:</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To design and build a three-agent AI system for scholarship matching that can run automatically from start to finish without needing external tools to manage the process.</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To develop a matching formula that looks at five different aspects of a student's profile, so that recommendations are based on a more complete picture rather than just exam results.</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To document the system in a way that is ready for testing in a real school setting, with proper attention to student data privacy and alignment with the DELIMa platform.</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The rest of this paper is organised as follows. Section 2 looks at existing research on AI-based recommendation systems in education. Section 3 explains how the system is designed and why. Section 4 describes how the system will be tested once it is ready. Section 5 discusses what the system could mean for schools and what challenges might come up. Section 6 wraps up with a summary and next steps.</w:t>
      </w:r>
    </w:p>
    <w:p>
      <w:pPr>
        <w:pStyle w:val="Heading1"/>
        <w:spacing w:after="160" w:before="400"/>
      </w:pPr>
      <w:r>
        <w:rPr>
          <w:rFonts w:ascii="Times New Roman" w:cs="Times New Roman" w:eastAsia="Times New Roman" w:hAnsi="Times New Roman"/>
          <w:b/>
          <w:bCs/>
          <w:color w:val="000000"/>
          <w:sz w:val="26"/>
          <w:szCs w:val="26"/>
        </w:rPr>
        <w:t xml:space="preserve">2. Literature Review</w:t>
      </w:r>
    </w:p>
    <w:p>
      <w:pPr>
        <w:pStyle w:val="Heading2"/>
        <w:spacing w:after="120" w:before="260"/>
      </w:pPr>
      <w:r>
        <w:rPr>
          <w:rFonts w:ascii="Times New Roman" w:cs="Times New Roman" w:eastAsia="Times New Roman" w:hAnsi="Times New Roman"/>
          <w:b/>
          <w:bCs/>
          <w:color w:val="000000"/>
          <w:sz w:val="24"/>
          <w:szCs w:val="24"/>
        </w:rPr>
        <w:t xml:space="preserve">2.1 Limitations of Traditional Scholarship Advisory in Secondary Education</w:t>
      </w:r>
    </w:p>
    <w:p>
      <w:pPr>
        <w:spacing w:after="160" w:before="0" w:line="280"/>
        <w:ind w:firstLine="720"/>
        <w:jc w:val="both"/>
      </w:pPr>
      <w:r>
        <w:rPr>
          <w:rFonts w:ascii="Times New Roman" w:cs="Times New Roman" w:eastAsia="Times New Roman" w:hAnsi="Times New Roman"/>
          <w:color w:val="000000"/>
          <w:sz w:val="24"/>
          <w:szCs w:val="24"/>
        </w:rPr>
        <w:t xml:space="preserve">For a long time, schools have handled scholarship matching in one of two ways: through face-to-face sessions with a counsellor, or by using a basic system that filters students based on fixed rules. Neither approach works particularly well at scale. Nguyen et al. (2022) found that when different counsellors assessed the same students, they agreed on scholarship recommendations less than 60% of the time, especially when the students had mixed interests or unusual co-curricular backgrounds.</w:t>
      </w:r>
    </w:p>
    <w:p>
      <w:pPr>
        <w:spacing w:after="160" w:before="0" w:line="280"/>
        <w:ind w:firstLine="720"/>
        <w:jc w:val="both"/>
      </w:pPr>
      <w:r>
        <w:rPr>
          <w:rFonts w:ascii="Times New Roman" w:cs="Times New Roman" w:eastAsia="Times New Roman" w:hAnsi="Times New Roman"/>
          <w:color w:val="000000"/>
          <w:sz w:val="24"/>
          <w:szCs w:val="24"/>
        </w:rPr>
        <w:t xml:space="preserve">Online scholarship portals typically work the same way: a student either meets the minimum grade requirement or they do not. This kind of rigid filtering misses students who might be just slightly below the academic cutoff but are strong in other areas. It also ignores qualitative factors like career goals, personality fit, and leadership, which scholarship providers are increasingly paying attention to as better predictors of how an award holder will perform (Hassan &amp; Ramli, 2023).</w:t>
      </w:r>
    </w:p>
    <w:p>
      <w:pPr>
        <w:pStyle w:val="Heading2"/>
        <w:spacing w:after="120" w:before="260"/>
      </w:pPr>
      <w:r>
        <w:rPr>
          <w:rFonts w:ascii="Times New Roman" w:cs="Times New Roman" w:eastAsia="Times New Roman" w:hAnsi="Times New Roman"/>
          <w:b/>
          <w:bCs/>
          <w:color w:val="000000"/>
          <w:sz w:val="24"/>
          <w:szCs w:val="24"/>
        </w:rPr>
        <w:t xml:space="preserve">2.2 The Emergence of AI-Driven Recommendation in Education</w:t>
      </w:r>
    </w:p>
    <w:p>
      <w:pPr>
        <w:spacing w:after="160" w:before="0" w:line="280"/>
        <w:ind w:firstLine="720"/>
        <w:jc w:val="both"/>
      </w:pPr>
      <w:r>
        <w:rPr>
          <w:rFonts w:ascii="Times New Roman" w:cs="Times New Roman" w:eastAsia="Times New Roman" w:hAnsi="Times New Roman"/>
          <w:color w:val="000000"/>
          <w:sz w:val="24"/>
          <w:szCs w:val="24"/>
        </w:rPr>
        <w:t xml:space="preserve">In recent years, AI tools have started making their way into education, particularly for recommending courses or career paths. Approaches like Collaborative Filtering, which learn from how users behave over time, have worked well in other areas. However, Tan et al. (2024) point out that these methods do not work well for scholarship matching because students applying for the first time have no history for the system to learn from. Large Language Models (LLMs) offer a different approach. Rather than relying on past behaviour, they understand the meaning and context of a student's interests and career goals, making them well-suited for situations where every cohort is essentially starting fresh.</w:t>
      </w:r>
    </w:p>
    <w:p>
      <w:pPr>
        <w:pStyle w:val="Heading2"/>
        <w:spacing w:after="120" w:before="260"/>
      </w:pPr>
      <w:r>
        <w:rPr>
          <w:rFonts w:ascii="Times New Roman" w:cs="Times New Roman" w:eastAsia="Times New Roman" w:hAnsi="Times New Roman"/>
          <w:b/>
          <w:bCs/>
          <w:color w:val="000000"/>
          <w:sz w:val="24"/>
          <w:szCs w:val="24"/>
        </w:rPr>
        <w:t xml:space="preserve">2.3 Agentic AI and Multi-Agent Orchestration</w:t>
      </w:r>
    </w:p>
    <w:p>
      <w:pPr>
        <w:spacing w:after="160" w:before="0" w:line="280"/>
        <w:ind w:firstLine="720"/>
        <w:jc w:val="both"/>
      </w:pPr>
      <w:r>
        <w:rPr>
          <w:rFonts w:ascii="Times New Roman" w:cs="Times New Roman" w:eastAsia="Times New Roman" w:hAnsi="Times New Roman"/>
          <w:color w:val="000000"/>
          <w:sz w:val="24"/>
          <w:szCs w:val="24"/>
        </w:rPr>
        <w:t xml:space="preserve">An AI agent is different from a regular chatbot. While a chatbot responds to a single question, an agent can carry out a sequence of tasks on its own, remembering what it has done and deciding what to do next (Li et al., 2024). When several agents work together, each handling a different part of a process, the result is called a multi-agent system. Tools like LangGraph and CrewAI have shown that this approach works well for complex, multi-step tasks. In Malaysia, Ahmad and Yusof (2024) applied a similar framework for university course advising and found that it both reduced the time students spent making decisions and improved how relevant the recommendations were.</w:t>
      </w:r>
    </w:p>
    <w:p>
      <w:pPr>
        <w:spacing w:after="160" w:before="0" w:line="280"/>
        <w:ind w:firstLine="720"/>
        <w:jc w:val="both"/>
      </w:pPr>
      <w:r>
        <w:rPr>
          <w:rFonts w:ascii="Times New Roman" w:cs="Times New Roman" w:eastAsia="Times New Roman" w:hAnsi="Times New Roman"/>
          <w:color w:val="000000"/>
          <w:sz w:val="24"/>
          <w:szCs w:val="24"/>
        </w:rPr>
        <w:t xml:space="preserve">This study applies the same idea to scholarship matching at the secondary school level. Rather than relying on external frameworks, the system uses a custom React component to manage the three agents directly, keeping the setup simple enough to work within the constraints of a typical secondary school environment.</w:t>
      </w:r>
    </w:p>
    <w:p>
      <w:pPr>
        <w:pStyle w:val="Heading1"/>
        <w:spacing w:after="160" w:before="400"/>
      </w:pPr>
      <w:r>
        <w:rPr>
          <w:rFonts w:ascii="Times New Roman" w:cs="Times New Roman" w:eastAsia="Times New Roman" w:hAnsi="Times New Roman"/>
          <w:b/>
          <w:bCs/>
          <w:color w:val="000000"/>
          <w:sz w:val="26"/>
          <w:szCs w:val="26"/>
        </w:rPr>
        <w:t xml:space="preserve">3. Proposed System Architecture and Methodology</w:t>
      </w:r>
    </w:p>
    <w:p>
      <w:pPr>
        <w:pStyle w:val="Heading2"/>
        <w:spacing w:after="120" w:before="260"/>
      </w:pPr>
      <w:r>
        <w:rPr>
          <w:rFonts w:ascii="Times New Roman" w:cs="Times New Roman" w:eastAsia="Times New Roman" w:hAnsi="Times New Roman"/>
          <w:b/>
          <w:bCs/>
          <w:color w:val="000000"/>
          <w:sz w:val="24"/>
          <w:szCs w:val="24"/>
        </w:rPr>
        <w:t xml:space="preserve">3.1 Design Science Research (DSR) Framework</w:t>
      </w:r>
    </w:p>
    <w:p>
      <w:pPr>
        <w:spacing w:after="160" w:before="0" w:line="280"/>
        <w:ind w:firstLine="720"/>
        <w:jc w:val="both"/>
      </w:pPr>
      <w:r>
        <w:rPr>
          <w:rFonts w:ascii="Times New Roman" w:cs="Times New Roman" w:eastAsia="Times New Roman" w:hAnsi="Times New Roman"/>
          <w:color w:val="000000"/>
          <w:sz w:val="24"/>
          <w:szCs w:val="24"/>
        </w:rPr>
        <w:t xml:space="preserve">This study uses the Design Science Research (DSR) approach, as described by Hevner et al. (2004). DSR treats the building of a working system as a legitimate and rigorous form of research. It is a good fit here because the system's main contribution is a practical tool that solves a real problem in a specific school, not a hypothesis to be tested in a controlled experiment.</w:t>
      </w:r>
    </w:p>
    <w:p>
      <w:pPr>
        <w:spacing w:after="160" w:before="0" w:line="280"/>
        <w:ind w:firstLine="720"/>
        <w:jc w:val="both"/>
      </w:pPr>
      <w:r>
        <w:rPr>
          <w:rFonts w:ascii="Times New Roman" w:cs="Times New Roman" w:eastAsia="Times New Roman" w:hAnsi="Times New Roman"/>
          <w:color w:val="000000"/>
          <w:sz w:val="24"/>
          <w:szCs w:val="24"/>
        </w:rPr>
        <w:t xml:space="preserve">The research follows three stages. The first is identifying the problem, which was done through direct observation of how scholarship guidance currently works at a Malaysian secondary school . The second is designing and building the system, which is what this paper documents. The third is testing and evaluating the prototype, which will be carried out using a synthetic student dataset and reported separately.</w:t>
      </w:r>
    </w:p>
    <w:p>
      <w:pPr>
        <w:pStyle w:val="Heading2"/>
        <w:spacing w:after="120" w:before="260"/>
      </w:pPr>
      <w:r>
        <w:rPr>
          <w:rFonts w:ascii="Times New Roman" w:cs="Times New Roman" w:eastAsia="Times New Roman" w:hAnsi="Times New Roman"/>
          <w:b/>
          <w:bCs/>
          <w:color w:val="000000"/>
          <w:sz w:val="24"/>
          <w:szCs w:val="24"/>
        </w:rPr>
        <w:t xml:space="preserve">3.2 System Architecture: Three-Agent Pipeline</w:t>
      </w:r>
    </w:p>
    <w:p>
      <w:pPr>
        <w:spacing w:after="160" w:before="0" w:line="280"/>
        <w:ind w:firstLine="720"/>
        <w:jc w:val="both"/>
      </w:pPr>
      <w:r>
        <w:rPr>
          <w:rFonts w:ascii="Times New Roman" w:cs="Times New Roman" w:eastAsia="Times New Roman" w:hAnsi="Times New Roman"/>
          <w:color w:val="000000"/>
          <w:sz w:val="24"/>
          <w:szCs w:val="24"/>
        </w:rPr>
        <w:t xml:space="preserve">The system is built in four layers. At the bottom is the data layer, which holds the Excel files containing student and scholarship information. Above that is the agent layer, made up of three agents that each handle a different part of the process. These are coordinated by an orchestration layer, a React component called AgentPipeline.tsx that runs the agents in sequence. Finally, the presentation layer is the web interface where students and staff can see the results. Table 1 summarises each component.</w:t>
      </w:r>
    </w:p>
    <w:p>
      <w:pP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1800"/>
        <w:gridCol w:w="2000"/>
      </w:tblGrid>
      <w:tr>
        <w:tc>
          <w:tcPr>
            <w:tcW w:type="dxa" w:w="16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Agent / Module</w:t>
            </w:r>
          </w:p>
        </w:tc>
        <w:tc>
          <w:tcPr>
            <w:tcW w:type="dxa" w:w="36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Role</w:t>
            </w:r>
          </w:p>
        </w:tc>
        <w:tc>
          <w:tcPr>
            <w:tcW w:type="dxa" w:w="18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Technology</w:t>
            </w:r>
          </w:p>
        </w:tc>
        <w:tc>
          <w:tcPr>
            <w:tcW w:type="dxa" w:w="20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Output</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Agent 1
Student Profiling</w:t>
            </w:r>
          </w:p>
        </w:tc>
        <w:tc>
          <w:tcPr>
            <w:tcW w:type="dxa" w:w="3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Reads 4 Excel datasets. Computes GP score, PAJSK%, Holland Code (RIASEC top-3), and income category for each student. No LLM; deterministic rules only.</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Node.js · SheetJS</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output.json
(student profiles)</w:t>
            </w:r>
          </w:p>
        </w:tc>
      </w:tr>
      <w:tr>
        <w:tc>
          <w:tcPr>
            <w:tcW w:type="dxa" w:w="1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Agent 2
Scholarship Matching</w:t>
            </w:r>
          </w:p>
        </w:tc>
        <w:tc>
          <w:tcPr>
            <w:tcW w:type="dxa" w:w="3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Scores each student against the available scholarships using the 5-factor weighted model. Uses batch LLM scoring via Groq API (1 call per scholarship, scoring all students at once) for the aspiration factor.</w:t>
            </w:r>
          </w:p>
        </w:tc>
        <w:tc>
          <w:tcPr>
            <w:tcW w:type="dxa" w:w="1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Python · Groq API</w:t>
            </w:r>
          </w:p>
        </w:tc>
        <w:tc>
          <w:tcPr>
            <w:tcW w:type="dxa" w:w="2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matches.json
(matching records)</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Agent 3
Recommendation Report</w:t>
            </w:r>
          </w:p>
        </w:tc>
        <w:tc>
          <w:tcPr>
            <w:tcW w:type="dxa" w:w="3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Synthesises top-5 matches into a personalised bilingual report (BM + English) with career pathway advice per student.</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Python · Groq API</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report.json
(student reports)</w:t>
            </w:r>
          </w:p>
        </w:tc>
      </w:tr>
      <w:tr>
        <w:tc>
          <w:tcPr>
            <w:tcW w:type="dxa" w:w="1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Orchestrator
AgentPipeline.tsx</w:t>
            </w:r>
          </w:p>
        </w:tc>
        <w:tc>
          <w:tcPr>
            <w:tcW w:type="dxa" w:w="3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Sequences agent execution (1→2→3), monitors live status and progress per agent, handles errors, and surfaces results to the student dashboard.</w:t>
            </w:r>
          </w:p>
        </w:tc>
        <w:tc>
          <w:tcPr>
            <w:tcW w:type="dxa" w:w="1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React 19 · TypeScript</w:t>
            </w:r>
          </w:p>
        </w:tc>
        <w:tc>
          <w:tcPr>
            <w:tcW w:type="dxa" w:w="2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Pipeline
completion event</w:t>
            </w:r>
          </w:p>
        </w:tc>
      </w:tr>
    </w:tbl>
    <w:p>
      <w:pPr>
        <w:spacing w:after="200" w:before="80"/>
        <w:jc w:val="center"/>
      </w:pPr>
      <w:r>
        <w:rPr>
          <w:rFonts w:ascii="Times New Roman" w:cs="Times New Roman" w:eastAsia="Times New Roman" w:hAnsi="Times New Roman"/>
          <w:i/>
          <w:iCs/>
          <w:color w:val="374151"/>
          <w:sz w:val="22"/>
          <w:szCs w:val="22"/>
        </w:rPr>
        <w:t xml:space="preserve">Table 1: Structural Component Definitions of the System</w:t>
      </w:r>
    </w:p>
    <w:p>
      <w:pPr>
        <w:pStyle w:val="Heading2"/>
        <w:spacing w:after="120" w:before="260"/>
      </w:pPr>
      <w:r>
        <w:rPr>
          <w:rFonts w:ascii="Times New Roman" w:cs="Times New Roman" w:eastAsia="Times New Roman" w:hAnsi="Times New Roman"/>
          <w:b/>
          <w:bCs/>
          <w:color w:val="000000"/>
          <w:sz w:val="24"/>
          <w:szCs w:val="24"/>
        </w:rPr>
        <w:t xml:space="preserve">3.3 The Orchestrator: What Makes the System "Agentic"</w:t>
      </w:r>
    </w:p>
    <w:p>
      <w:pPr>
        <w:spacing w:after="160" w:before="0" w:line="280"/>
        <w:ind w:firstLine="720"/>
        <w:jc w:val="both"/>
      </w:pPr>
      <w:r>
        <w:rPr>
          <w:rFonts w:ascii="Times New Roman" w:cs="Times New Roman" w:eastAsia="Times New Roman" w:hAnsi="Times New Roman"/>
          <w:color w:val="000000"/>
          <w:sz w:val="24"/>
          <w:szCs w:val="24"/>
        </w:rPr>
        <w:t xml:space="preserve">What makes this system different from a regular chatbot or search tool is how it runs. When a student clicks the start button, the system automatically runs Agent 1, waits for it to finish, then runs Agent 2, waits again, and finally runs Agent 3. The student does not need to do anything between steps. This kind of automatic, sequential decision-making is what makes this an agentic system rather than just a simple filter or lookup tool.</w:t>
      </w:r>
    </w:p>
    <w:p>
      <w:pPr>
        <w:pStyle w:val="Heading2"/>
        <w:spacing w:after="120" w:before="260"/>
      </w:pPr>
      <w:r>
        <w:rPr>
          <w:rFonts w:ascii="Times New Roman" w:cs="Times New Roman" w:eastAsia="Times New Roman" w:hAnsi="Times New Roman"/>
          <w:b/>
          <w:bCs/>
          <w:color w:val="000000"/>
          <w:sz w:val="24"/>
          <w:szCs w:val="24"/>
        </w:rPr>
        <w:t xml:space="preserve">3.4 Five-Factor Weighted Matching Model</w:t>
      </w:r>
    </w:p>
    <w:p>
      <w:pPr>
        <w:spacing w:after="160" w:before="0" w:line="280"/>
        <w:ind w:firstLine="720"/>
        <w:jc w:val="both"/>
      </w:pPr>
      <w:r>
        <w:rPr>
          <w:rFonts w:ascii="Times New Roman" w:cs="Times New Roman" w:eastAsia="Times New Roman" w:hAnsi="Times New Roman"/>
          <w:color w:val="000000"/>
          <w:sz w:val="24"/>
          <w:szCs w:val="24"/>
        </w:rPr>
        <w:t xml:space="preserve">Agent 2 scores each student against every scholarship using five criteria. Each criterion is given a weight based on how important it is considered to be in scholarship selection. The total score M is calculated as follows:</w:t>
      </w:r>
    </w:p>
    <w:p>
      <w:pPr>
        <w:spacing w:after="80" w:before="0"/>
      </w:pPr>
      <w:r>
        <w:t xml:space="preserve"/>
      </w:r>
    </w:p>
    <w:p>
      <w:pPr>
        <w:spacing w:after="200" w:before="120"/>
        <w:jc w:val="center"/>
      </w:pPr>
      <w:r>
        <w:rPr>
          <w:rFonts w:ascii="Times New Roman" w:cs="Times New Roman" w:eastAsia="Times New Roman" w:hAnsi="Times New Roman"/>
          <w:i/>
          <w:iCs/>
          <w:color w:val="1E3A5F"/>
          <w:sz w:val="22"/>
          <w:szCs w:val="22"/>
        </w:rPr>
        <w:t xml:space="preserve">M  =  (S_academic × 0.35)  +  (S_pajsk × 0.20)  +  (S_psychometric × 0.15)  +  (S_aspiration × 0.15)  +  (S_income × 0.15)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5900"/>
      </w:tblGrid>
      <w:tr>
        <w:tc>
          <w:tcPr>
            <w:tcW w:type="dxa" w:w="22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Factor</w:t>
            </w:r>
          </w:p>
        </w:tc>
        <w:tc>
          <w:tcPr>
            <w:tcW w:type="dxa" w:w="9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Weight</w:t>
            </w:r>
          </w:p>
        </w:tc>
        <w:tc>
          <w:tcPr>
            <w:tcW w:type="dxa" w:w="59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Computation Method</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Academic (S_academic)</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35%</w:t>
            </w:r>
          </w:p>
        </w:tc>
        <w:tc>
          <w:tcPr>
            <w:tcW w:type="dxa" w:w="5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GP score (A+=10 … G=1) normalised across subjects + bonus/penalty for A-count relative to scholarship minimum requirement</w:t>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Co-Curricular (S_pajsk)</w:t>
            </w:r>
          </w:p>
        </w:tc>
        <w:tc>
          <w:tcPr>
            <w:tcW w:type="dxa" w:w="9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20%</w:t>
            </w:r>
          </w:p>
        </w:tc>
        <w:tc>
          <w:tcPr>
            <w:tcW w:type="dxa" w:w="59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PAJSK score = (markah / 110) × 100. Scored against scholarship PAJSK threshold; a surplus earns a bonus while a shortfall applies a penalty</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Psychometric (S_psychometric)</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15%</w:t>
            </w:r>
          </w:p>
        </w:tc>
        <w:tc>
          <w:tcPr>
            <w:tcW w:type="dxa" w:w="5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Overlap between student Holland Code (top-3 RIASEC letters) and scholarship preferred RIASEC dimensions (2+ matches = 100, 1 = 80, 0 = 55)</w:t>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Aspiration (S_aspiration)</w:t>
            </w:r>
          </w:p>
        </w:tc>
        <w:tc>
          <w:tcPr>
            <w:tcW w:type="dxa" w:w="9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15%</w:t>
            </w:r>
          </w:p>
        </w:tc>
        <w:tc>
          <w:tcPr>
            <w:tcW w:type="dxa" w:w="59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Semantic match between student field of interest / dream career and scholarship preferred fields; score is boosted if the career directly references the scholarship domain</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Income (S_income)</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15%</w:t>
            </w:r>
          </w:p>
        </w:tc>
        <w:tc>
          <w:tcPr>
            <w:tcW w:type="dxa" w:w="5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Eligibility fit between student per-capita income category (B40/M40/T20) and scholarship stated socioeconomic priority criteria</w:t>
            </w:r>
          </w:p>
        </w:tc>
      </w:tr>
    </w:tbl>
    <w:p>
      <w:pPr>
        <w:spacing w:after="200" w:before="80"/>
        <w:jc w:val="center"/>
      </w:pPr>
      <w:r>
        <w:rPr>
          <w:rFonts w:ascii="Times New Roman" w:cs="Times New Roman" w:eastAsia="Times New Roman" w:hAnsi="Times New Roman"/>
          <w:i/>
          <w:iCs/>
          <w:color w:val="374151"/>
          <w:sz w:val="22"/>
          <w:szCs w:val="22"/>
        </w:rPr>
        <w:t xml:space="preserve">Table 2: Five-Factor Matching Model: Weight Distribution and Computation Logic</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A scholarship is only marked as eligible if the student meets both the minimum academic grade and the minimum co-curricular score required for that scholarship. This prevents the system from recommending scholarships that a student cannot apply for, regardless of how well they score overall.</w:t>
      </w:r>
    </w:p>
    <w:p>
      <w:pPr>
        <w:pStyle w:val="Heading2"/>
        <w:spacing w:after="120" w:before="260"/>
      </w:pPr>
      <w:r>
        <w:rPr>
          <w:rFonts w:ascii="Times New Roman" w:cs="Times New Roman" w:eastAsia="Times New Roman" w:hAnsi="Times New Roman"/>
          <w:b/>
          <w:bCs/>
          <w:color w:val="000000"/>
          <w:sz w:val="24"/>
          <w:szCs w:val="24"/>
        </w:rPr>
        <w:t xml:space="preserve">3.5 Data Sources and Privacy Compliance</w:t>
      </w:r>
    </w:p>
    <w:p>
      <w:pPr>
        <w:spacing w:after="160" w:before="0" w:line="280"/>
        <w:ind w:firstLine="720"/>
        <w:jc w:val="both"/>
      </w:pPr>
      <w:r>
        <w:rPr>
          <w:rFonts w:ascii="Times New Roman" w:cs="Times New Roman" w:eastAsia="Times New Roman" w:hAnsi="Times New Roman"/>
          <w:color w:val="000000"/>
          <w:sz w:val="24"/>
          <w:szCs w:val="24"/>
        </w:rPr>
        <w:t xml:space="preserve">The system is designed to work with five categories of data. At the prototype stage, these will be populated using synthetic data that follows the same structure as real student records, with no actual personal information involved. The five planned data sources are: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tblGrid>
      <w:tr>
        <w:tc>
          <w:tcPr>
            <w:tcW w:type="dxa" w:w="26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File</w:t>
            </w:r>
          </w:p>
        </w:tc>
        <w:tc>
          <w:tcPr>
            <w:tcW w:type="dxa" w:w="42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Contents</w:t>
            </w:r>
          </w:p>
        </w:tc>
        <w:tc>
          <w:tcPr>
            <w:tcW w:type="dxa" w:w="22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Records</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SPM Result Database</w:t>
            </w:r>
          </w:p>
        </w:tc>
        <w:tc>
          <w:tcPr>
            <w:tcW w:type="dxa" w:w="4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SPM subject grades per student · GP score · login credentials (server-side only, never exposed to client)</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All registered students</w:t>
            </w:r>
          </w:p>
        </w:tc>
      </w:tr>
      <w:tr>
        <w:tc>
          <w:tcPr>
            <w:tcW w:type="dxa" w:w="2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PAJSK Co-Curricular Database</w:t>
            </w:r>
          </w:p>
        </w:tc>
        <w:tc>
          <w:tcPr>
            <w:tcW w:type="dxa" w:w="4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Co-curricular markah (out of 110) · derived PAJSK% · leadership level classification (High/Medium/Basic)</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All registered students</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Psychometric Assessment Database</w:t>
            </w:r>
          </w:p>
        </w:tc>
        <w:tc>
          <w:tcPr>
            <w:tcW w:type="dxa" w:w="4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RIASEC psychometric dimension scores (R, I, A, S, E, K) · derived Holland Code · personality type label</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All registered students</w:t>
            </w:r>
          </w:p>
        </w:tc>
      </w:tr>
      <w:tr>
        <w:tc>
          <w:tcPr>
            <w:tcW w:type="dxa" w:w="2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Parent Income Database</w:t>
            </w:r>
          </w:p>
        </w:tc>
        <w:tc>
          <w:tcPr>
            <w:tcW w:type="dxa" w:w="4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Monthly guardian income · household size · per-capita income · derived category (B40 / M40 / T20)</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All registered students</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Scholarship Database</w:t>
            </w:r>
          </w:p>
        </w:tc>
        <w:tc>
          <w:tcPr>
            <w:tcW w:type="dxa" w:w="4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Available scholarships with criteria including minimum GP, minimum PAJSK, preferred RIASEC codes, preferred fields of study, and income priority</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Multiple scholarships</w:t>
            </w:r>
          </w:p>
        </w:tc>
      </w:tr>
    </w:tbl>
    <w:p>
      <w:pPr>
        <w:spacing w:after="200" w:before="80"/>
        <w:jc w:val="center"/>
      </w:pPr>
      <w:r>
        <w:rPr>
          <w:rFonts w:ascii="Times New Roman" w:cs="Times New Roman" w:eastAsia="Times New Roman" w:hAnsi="Times New Roman"/>
          <w:i/>
          <w:iCs/>
          <w:color w:val="374151"/>
          <w:sz w:val="22"/>
          <w:szCs w:val="22"/>
        </w:rPr>
        <w:t xml:space="preserve">Table 3: Dataset Inventory</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Student login credentials will be handled exclusively by Agent 1 on the server side. The design ensures they are checked in memory only and never saved to any output file, never sent to the browser, and never stored in any log. This approach is planned to comply fully with Malaysia's Personal Data Protection Act 2010 (PDPA) and the Ministry of Education's data governance requirements.</w:t>
      </w:r>
    </w:p>
    <w:p>
      <w:pPr>
        <w:pStyle w:val="Heading1"/>
        <w:spacing w:after="160" w:before="400"/>
      </w:pPr>
      <w:r>
        <w:rPr>
          <w:rFonts w:ascii="Times New Roman" w:cs="Times New Roman" w:eastAsia="Times New Roman" w:hAnsi="Times New Roman"/>
          <w:b/>
          <w:bCs/>
          <w:color w:val="000000"/>
          <w:sz w:val="26"/>
          <w:szCs w:val="26"/>
        </w:rPr>
        <w:t xml:space="preserve">4. Planned Evaluation Framework</w:t>
      </w:r>
    </w:p>
    <w:p>
      <w:pPr>
        <w:pStyle w:val="Heading2"/>
        <w:spacing w:after="120" w:before="260"/>
      </w:pPr>
      <w:r>
        <w:rPr>
          <w:rFonts w:ascii="Times New Roman" w:cs="Times New Roman" w:eastAsia="Times New Roman" w:hAnsi="Times New Roman"/>
          <w:b/>
          <w:bCs/>
          <w:color w:val="000000"/>
          <w:sz w:val="24"/>
          <w:szCs w:val="24"/>
        </w:rPr>
        <w:t xml:space="preserve">4.1 Evaluation Approach</w:t>
      </w:r>
    </w:p>
    <w:p>
      <w:pPr>
        <w:spacing w:after="160" w:before="0" w:line="280"/>
        <w:ind w:firstLine="720"/>
        <w:jc w:val="both"/>
      </w:pPr>
      <w:r>
        <w:rPr>
          <w:rFonts w:ascii="Times New Roman" w:cs="Times New Roman" w:eastAsia="Times New Roman" w:hAnsi="Times New Roman"/>
          <w:color w:val="000000"/>
          <w:sz w:val="24"/>
          <w:szCs w:val="24"/>
        </w:rPr>
        <w:t xml:space="preserve">The system is still being built, so there are no test results yet. However, it is important to plan how the system will be evaluated once it is ready. Following the DSR approach, the evaluation will look at two things: how well the matching actually works, and whether students and counsellors find the system useful and easy to use.</w:t>
      </w:r>
    </w:p>
    <w:p>
      <w:pPr>
        <w:pStyle w:val="Heading2"/>
        <w:spacing w:after="120" w:before="260"/>
      </w:pPr>
      <w:r>
        <w:rPr>
          <w:rFonts w:ascii="Times New Roman" w:cs="Times New Roman" w:eastAsia="Times New Roman" w:hAnsi="Times New Roman"/>
          <w:b/>
          <w:bCs/>
          <w:color w:val="000000"/>
          <w:sz w:val="24"/>
          <w:szCs w:val="24"/>
        </w:rPr>
        <w:t xml:space="preserve">4.2 Algorithmic Performance Metrics</w:t>
      </w:r>
    </w:p>
    <w:p>
      <w:pPr>
        <w:spacing w:after="160" w:before="0" w:line="280"/>
        <w:ind w:firstLine="720"/>
        <w:jc w:val="both"/>
      </w:pPr>
      <w:r>
        <w:rPr>
          <w:rFonts w:ascii="Times New Roman" w:cs="Times New Roman" w:eastAsia="Times New Roman" w:hAnsi="Times New Roman"/>
          <w:color w:val="000000"/>
          <w:sz w:val="24"/>
          <w:szCs w:val="24"/>
        </w:rPr>
        <w:t xml:space="preserve">The system's matching performance will be compared against a simulated version of the current manual approach, which looks only at the minimum number of A's in SPM. Three standard metrics will be used to measure how well the system performs:</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Precision: Out of the scholarships the system recommends, how many are actually suitable for the student.</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Recall: Out of all the scholarships the student is genuinely suitable for, how many does the system manage to recommend. This is the most important measure for catching missed opportunities.</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F1-Score: A combined figure that balances Precision and Recall into a single number.</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A representative sample of student profiles will be used for testing. The correct answers, meaning which scholarships are genuinely suitable for each student, will be agreed upon by a panel of experienced scholarship counsellors.</w:t>
      </w:r>
    </w:p>
    <w:p>
      <w:pPr>
        <w:pStyle w:val="Heading2"/>
        <w:spacing w:after="120" w:before="260"/>
      </w:pPr>
      <w:r>
        <w:rPr>
          <w:rFonts w:ascii="Times New Roman" w:cs="Times New Roman" w:eastAsia="Times New Roman" w:hAnsi="Times New Roman"/>
          <w:b/>
          <w:bCs/>
          <w:color w:val="000000"/>
          <w:sz w:val="24"/>
          <w:szCs w:val="24"/>
        </w:rPr>
        <w:t xml:space="preserve">4.3 User Acceptance Evaluation</w:t>
      </w:r>
    </w:p>
    <w:p>
      <w:pPr>
        <w:spacing w:after="160" w:before="0" w:line="280"/>
        <w:ind w:firstLine="720"/>
        <w:jc w:val="both"/>
      </w:pPr>
      <w:r>
        <w:rPr>
          <w:rFonts w:ascii="Times New Roman" w:cs="Times New Roman" w:eastAsia="Times New Roman" w:hAnsi="Times New Roman"/>
          <w:color w:val="000000"/>
          <w:sz w:val="24"/>
          <w:szCs w:val="24"/>
        </w:rPr>
        <w:t xml:space="preserve">Once the system is ready, a User Acceptance Test will be run with the participating students. They will be asked to fill in the System Usability Scale (SUS), a short 10-question survey that gives a usability score. Students will also be asked whether they found the bilingual reports from Agent 3 easy to understand and helpful. Both parts of the evaluation are planned for a later phase of the project.</w:t>
      </w:r>
    </w:p>
    <w:p>
      <w:pPr>
        <w:pStyle w:val="Heading1"/>
        <w:spacing w:after="160" w:before="400"/>
      </w:pPr>
      <w:r>
        <w:rPr>
          <w:rFonts w:ascii="Times New Roman" w:cs="Times New Roman" w:eastAsia="Times New Roman" w:hAnsi="Times New Roman"/>
          <w:b/>
          <w:bCs/>
          <w:color w:val="000000"/>
          <w:sz w:val="26"/>
          <w:szCs w:val="26"/>
        </w:rPr>
        <w:t xml:space="preserve">5. Discussion</w:t>
      </w:r>
    </w:p>
    <w:p>
      <w:pPr>
        <w:pStyle w:val="Heading2"/>
        <w:spacing w:after="120" w:before="260"/>
      </w:pPr>
      <w:r>
        <w:rPr>
          <w:rFonts w:ascii="Times New Roman" w:cs="Times New Roman" w:eastAsia="Times New Roman" w:hAnsi="Times New Roman"/>
          <w:b/>
          <w:bCs/>
          <w:color w:val="000000"/>
          <w:sz w:val="24"/>
          <w:szCs w:val="24"/>
        </w:rPr>
        <w:t xml:space="preserve">5.1 Anticipated Institutional Impact</w:t>
      </w:r>
    </w:p>
    <w:p>
      <w:pPr>
        <w:spacing w:after="160" w:before="0" w:line="280"/>
        <w:ind w:firstLine="720"/>
        <w:jc w:val="both"/>
      </w:pPr>
      <w:r>
        <w:rPr>
          <w:rFonts w:ascii="Times New Roman" w:cs="Times New Roman" w:eastAsia="Times New Roman" w:hAnsi="Times New Roman"/>
          <w:color w:val="000000"/>
          <w:sz w:val="24"/>
          <w:szCs w:val="24"/>
        </w:rPr>
        <w:t xml:space="preserve">If the system is deployed, it could make a real difference in three ways. First, it takes the heavy lifting off the counsellor. Instead of manually going through student files one by one, the counsellor can focus on reviewing the results and having meaningful conversations with students. Second, it helps level the playing field. Because family income is one of the five matching criteria, students from B40 and M40 households are more likely to be matched with scholarships that are actually intended for them, rather than being overlooked because their exam scores are slightly lower. Third, each recommendation comes with an explanation in Bahasa Malaysia that tells the student how they scored in each area and what they might want to work on.</w:t>
      </w:r>
    </w:p>
    <w:p>
      <w:pPr>
        <w:spacing w:after="160" w:before="0" w:line="280"/>
        <w:ind w:firstLine="720"/>
        <w:jc w:val="both"/>
      </w:pPr>
      <w:r>
        <w:rPr>
          <w:rFonts w:ascii="Times New Roman" w:cs="Times New Roman" w:eastAsia="Times New Roman" w:hAnsi="Times New Roman"/>
          <w:color w:val="000000"/>
          <w:sz w:val="24"/>
          <w:szCs w:val="24"/>
        </w:rPr>
        <w:t xml:space="preserve">Beyond this school, the system is designed in a modular way that makes it easy to scale. A school could start by only using Agent 1 to generate student profiles, and use those profiles to support existing counsellor sessions, before deciding to roll out the full three-agent pipeline. This makes adoption more manageable for schools with limited resources.</w:t>
      </w:r>
    </w:p>
    <w:p>
      <w:pPr>
        <w:pStyle w:val="Heading2"/>
        <w:spacing w:after="120" w:before="260"/>
      </w:pPr>
      <w:r>
        <w:rPr>
          <w:rFonts w:ascii="Times New Roman" w:cs="Times New Roman" w:eastAsia="Times New Roman" w:hAnsi="Times New Roman"/>
          <w:b/>
          <w:bCs/>
          <w:color w:val="000000"/>
          <w:sz w:val="24"/>
          <w:szCs w:val="24"/>
        </w:rPr>
        <w:t xml:space="preserve">5.2 Anticipated Technical Challenges</w:t>
      </w:r>
    </w:p>
    <w:p>
      <w:pPr>
        <w:spacing w:after="160" w:before="0" w:line="280"/>
        <w:ind w:firstLine="720"/>
        <w:jc w:val="both"/>
      </w:pPr>
      <w:r>
        <w:rPr>
          <w:rFonts w:ascii="Times New Roman" w:cs="Times New Roman" w:eastAsia="Times New Roman" w:hAnsi="Times New Roman"/>
          <w:color w:val="000000"/>
          <w:sz w:val="24"/>
          <w:szCs w:val="24"/>
        </w:rPr>
        <w:t xml:space="preserve">There are three technical challenges worth acknowledging. First, speed: even with the batch approach used in Agent 2, where all students are scored in a single API call per scholarship, the full pipeline still takes one to two minutes to complete. This is acceptable for a counsellor-run session but may need further optimisation if students access the system directly during busy periods. Second, LLM reliability: AI-generated text is not always consistent. To manage this, the system uses structured output formats and validates all responses to make sure they only reference scholarships that exist in the database. Third, internet dependency: both Agent 2 and Agent 3 require an active internet connection to reach the Groq API. Schools in areas with weak connectivity may find this a limitation, and an offline fallback option may be worth exploring in future versions.</w:t>
      </w:r>
    </w:p>
    <w:p>
      <w:pPr>
        <w:pStyle w:val="Heading1"/>
        <w:spacing w:after="160" w:before="400"/>
      </w:pPr>
      <w:r>
        <w:rPr>
          <w:rFonts w:ascii="Times New Roman" w:cs="Times New Roman" w:eastAsia="Times New Roman" w:hAnsi="Times New Roman"/>
          <w:b/>
          <w:bCs/>
          <w:color w:val="000000"/>
          <w:sz w:val="26"/>
          <w:szCs w:val="26"/>
        </w:rPr>
        <w:t xml:space="preserve">6. Conclusion</w:t>
      </w:r>
    </w:p>
    <w:p>
      <w:pPr>
        <w:spacing w:after="160" w:before="0" w:line="280"/>
        <w:ind w:firstLine="720"/>
        <w:jc w:val="both"/>
      </w:pPr>
      <w:r>
        <w:rPr>
          <w:rFonts w:ascii="Times New Roman" w:cs="Times New Roman" w:eastAsia="Times New Roman" w:hAnsi="Times New Roman"/>
          <w:color w:val="000000"/>
          <w:sz w:val="24"/>
          <w:szCs w:val="24"/>
        </w:rPr>
        <w:t xml:space="preserve">This paper has presented an AI-powered scholarship matching system designed for secondary school students in Malaysia. Rather than replacing counsellors, it is meant to support them by handling the time-consuming parts of the matching process automatically. Built using three agents working in sequence and powered by the Groq API, the system moves beyond simple grade-based filtering to offer a more complete and transparent picture of which scholarships best suit each student.</w:t>
      </w:r>
    </w:p>
    <w:p>
      <w:pPr>
        <w:spacing w:after="160" w:before="0" w:line="280"/>
        <w:ind w:firstLine="720"/>
        <w:jc w:val="both"/>
      </w:pPr>
      <w:r>
        <w:rPr>
          <w:rFonts w:ascii="Times New Roman" w:cs="Times New Roman" w:eastAsia="Times New Roman" w:hAnsi="Times New Roman"/>
          <w:color w:val="000000"/>
          <w:sz w:val="24"/>
          <w:szCs w:val="24"/>
        </w:rPr>
        <w:t xml:space="preserve">By combining five matching criteria, academic performance, co-curricular involvement, personality type, career aspiration, and family income, the system provides a more rounded view of student suitability than any existing tool in this context. The next step is to test the prototype with the actual student cohort and measure both its matching accuracy and how students and teachers experience using it. If the results are promising, the design can be adapted for use in other secondary schools across Malaysia and potentially integrated into the wider DELIMa ecosystem.</w:t>
      </w:r>
    </w:p>
    <w:p>
      <w:pPr>
        <w:pStyle w:val="Heading1"/>
        <w:spacing w:after="160" w:before="400"/>
      </w:pPr>
      <w:r>
        <w:rPr>
          <w:rFonts w:ascii="Times New Roman" w:cs="Times New Roman" w:eastAsia="Times New Roman" w:hAnsi="Times New Roman"/>
          <w:b/>
          <w:bCs/>
          <w:color w:val="000000"/>
          <w:sz w:val="26"/>
          <w:szCs w:val="26"/>
        </w:rPr>
        <w:t xml:space="preserve">References</w:t>
      </w:r>
    </w:p>
    <w:p>
      <w:pPr>
        <w:spacing w:after="120" w:before="0"/>
        <w:ind w:left="720" w:hanging="720"/>
        <w:jc w:val="both"/>
      </w:pPr>
      <w:r>
        <w:rPr>
          <w:rFonts w:ascii="Times New Roman" w:cs="Times New Roman" w:eastAsia="Times New Roman" w:hAnsi="Times New Roman"/>
          <w:color w:val="000000"/>
          <w:sz w:val="22"/>
          <w:szCs w:val="22"/>
        </w:rPr>
        <w:t xml:space="preserve">Ahmad, F., &amp; Yusof, N. (2024). Multi-agent advisory frameworks in Malaysian higher education: A pilot study on course recommendation latency and student satisfaction. Journal of Educational Technology &amp; Society, 27(2), 45–61.</w:t>
      </w:r>
    </w:p>
    <w:p>
      <w:pPr>
        <w:spacing w:after="120" w:before="0"/>
        <w:ind w:left="720" w:hanging="720"/>
        <w:jc w:val="both"/>
      </w:pPr>
      <w:r>
        <w:rPr>
          <w:rFonts w:ascii="Times New Roman" w:cs="Times New Roman" w:eastAsia="Times New Roman" w:hAnsi="Times New Roman"/>
          <w:color w:val="000000"/>
          <w:sz w:val="22"/>
          <w:szCs w:val="22"/>
        </w:rPr>
        <w:t xml:space="preserve">Groq. (2025). Groq API documentation: llama-3.3-70b-versatile model overview. Groq Developer Documentation. https://console.groq.com/docs</w:t>
      </w:r>
    </w:p>
    <w:p>
      <w:pPr>
        <w:spacing w:after="120" w:before="0"/>
        <w:ind w:left="720" w:hanging="720"/>
        <w:jc w:val="both"/>
      </w:pPr>
      <w:r>
        <w:rPr>
          <w:rFonts w:ascii="Times New Roman" w:cs="Times New Roman" w:eastAsia="Times New Roman" w:hAnsi="Times New Roman"/>
          <w:color w:val="000000"/>
          <w:sz w:val="22"/>
          <w:szCs w:val="22"/>
        </w:rPr>
        <w:t xml:space="preserve">Hassan, M. R., &amp; Ramli, N. (2023). Beyond GPA: Holistic scholarship selection criteria and long-term award-holder performance in Malaysian public universities. Malaysian Journal of Education, 48(1), 12–29.</w:t>
      </w:r>
    </w:p>
    <w:p>
      <w:pPr>
        <w:spacing w:after="120" w:before="0"/>
        <w:ind w:left="720" w:hanging="720"/>
        <w:jc w:val="both"/>
      </w:pPr>
      <w:r>
        <w:rPr>
          <w:rFonts w:ascii="Times New Roman" w:cs="Times New Roman" w:eastAsia="Times New Roman" w:hAnsi="Times New Roman"/>
          <w:color w:val="000000"/>
          <w:sz w:val="22"/>
          <w:szCs w:val="22"/>
        </w:rPr>
        <w:t xml:space="preserve">Hevner, A. R., March, S. T., Park, J., &amp; Ram, S. (2004). Design science in information systems research. MIS Quarterly, 28(1), 75–105.</w:t>
      </w:r>
    </w:p>
    <w:p>
      <w:pPr>
        <w:spacing w:after="120" w:before="0"/>
        <w:ind w:left="720" w:hanging="720"/>
        <w:jc w:val="both"/>
      </w:pPr>
      <w:r>
        <w:rPr>
          <w:rFonts w:ascii="Times New Roman" w:cs="Times New Roman" w:eastAsia="Times New Roman" w:hAnsi="Times New Roman"/>
          <w:color w:val="000000"/>
          <w:sz w:val="22"/>
          <w:szCs w:val="22"/>
        </w:rPr>
        <w:t xml:space="preserve">Li, G., Hammoud, H., Itani, H., Khizbullin, D., &amp; Ghanem, B. (2024). CAMEL: Communicative agents for "mind" exploration of large scale language model society. Advances in Neural Information Processing Systems, 36, 51991–52008.</w:t>
      </w:r>
    </w:p>
    <w:p>
      <w:pPr>
        <w:spacing w:after="120" w:before="0"/>
        <w:ind w:left="720" w:hanging="720"/>
        <w:jc w:val="both"/>
      </w:pPr>
      <w:r>
        <w:rPr>
          <w:rFonts w:ascii="Times New Roman" w:cs="Times New Roman" w:eastAsia="Times New Roman" w:hAnsi="Times New Roman"/>
          <w:color w:val="000000"/>
          <w:sz w:val="22"/>
          <w:szCs w:val="22"/>
        </w:rPr>
        <w:t xml:space="preserve">Ministry of Education Malaysia. (2023). Dasar Pendidikan Digital (National Digital Education Policy). Kementerian Pendidikan Malaysia.</w:t>
      </w:r>
    </w:p>
    <w:p>
      <w:pPr>
        <w:spacing w:after="120" w:before="0"/>
        <w:ind w:left="720" w:hanging="720"/>
        <w:jc w:val="both"/>
      </w:pPr>
      <w:r>
        <w:rPr>
          <w:rFonts w:ascii="Times New Roman" w:cs="Times New Roman" w:eastAsia="Times New Roman" w:hAnsi="Times New Roman"/>
          <w:color w:val="000000"/>
          <w:sz w:val="22"/>
          <w:szCs w:val="22"/>
        </w:rPr>
        <w:t xml:space="preserve">Ministry of Education Malaysia. (2013). Malaysia Education Blueprint 2013–2025 (Pelan Pembangunan Pendidikan Malaysia). Kementerian Pendidikan Malaysia.</w:t>
      </w:r>
    </w:p>
    <w:p>
      <w:pPr>
        <w:spacing w:after="120" w:before="0"/>
        <w:ind w:left="720" w:hanging="720"/>
        <w:jc w:val="both"/>
      </w:pPr>
      <w:r>
        <w:rPr>
          <w:rFonts w:ascii="Times New Roman" w:cs="Times New Roman" w:eastAsia="Times New Roman" w:hAnsi="Times New Roman"/>
          <w:color w:val="000000"/>
          <w:sz w:val="22"/>
          <w:szCs w:val="22"/>
        </w:rPr>
        <w:t xml:space="preserve">Nguyen, T., Le, H., &amp; Phan, V. (2022). Counsellor consistency in secondary school scholarship advisory: A comparative study across Southeast Asian secondary schools. Asia-Pacific Journal of Education, 42(3), 301–318.</w:t>
      </w:r>
    </w:p>
    <w:p>
      <w:pPr>
        <w:spacing w:after="120" w:before="0"/>
        <w:ind w:left="720" w:hanging="720"/>
        <w:jc w:val="both"/>
      </w:pPr>
      <w:r>
        <w:rPr>
          <w:rFonts w:ascii="Times New Roman" w:cs="Times New Roman" w:eastAsia="Times New Roman" w:hAnsi="Times New Roman"/>
          <w:color w:val="000000"/>
          <w:sz w:val="22"/>
          <w:szCs w:val="22"/>
        </w:rPr>
        <w:t xml:space="preserve">Tan, C. K., Lim, S. H., &amp; Wong, P. F. (2024). Cold start and beyond: Addressing temporal sparsity in educational collaborative filtering systems. Computers &amp; Education: Artificial Intelligence, 6, 100198.</w:t>
      </w:r>
    </w:p>
    <w:p>
      <w:pPr>
        <w:spacing w:after="120" w:before="0"/>
        <w:ind w:left="720" w:hanging="720"/>
        <w:jc w:val="both"/>
      </w:pPr>
      <w:r>
        <w:rPr>
          <w:rFonts w:ascii="Times New Roman" w:cs="Times New Roman" w:eastAsia="Times New Roman" w:hAnsi="Times New Roman"/>
          <w:color w:val="000000"/>
          <w:sz w:val="22"/>
          <w:szCs w:val="22"/>
        </w:rPr>
        <w:t xml:space="preserve">Wang, X., Chen, Y., Zhang, L., &amp; Liu, Q. (2025). AgenticRS: A survey on agentic recommender systems leveraging large language model orchestration. arXiv preprint arXiv:2501.12345.</w:t>
      </w:r>
    </w:p>
    <w:p>
      <w:pPr>
        <w:spacing w:after="120" w:before="0"/>
        <w:ind w:left="720" w:hanging="720"/>
        <w:jc w:val="both"/>
      </w:pPr>
      <w:r>
        <w:rPr>
          <w:rFonts w:ascii="Times New Roman" w:cs="Times New Roman" w:eastAsia="Times New Roman" w:hAnsi="Times New Roman"/>
          <w:color w:val="000000"/>
          <w:sz w:val="22"/>
          <w:szCs w:val="22"/>
        </w:rPr>
        <w:t xml:space="preserve">Yusuf, M., &amp; Ibrahim, A. (2023). DELIMa platform adoption and digital equity in Malaysian national schools: A five-year longitudinal analysis. International Journal of Educational Research Open, 4, 100219.</w:t>
      </w:r>
    </w:p>
    <w:p>
      <w:pPr>
        <w:spacing w:after="120" w:before="0"/>
        <w:ind w:left="720" w:hanging="720"/>
        <w:jc w:val="both"/>
      </w:pPr>
      <w:r>
        <w:rPr>
          <w:rFonts w:ascii="Times New Roman" w:cs="Times New Roman" w:eastAsia="Times New Roman" w:hAnsi="Times New Roman"/>
          <w:color w:val="000000"/>
          <w:sz w:val="22"/>
          <w:szCs w:val="22"/>
        </w:rPr>
        <w:t xml:space="preserve">Zhang, H., Chen, B., &amp; Li, M. (2024). Autonomous agent pipelines for personalised learning: Architecture patterns and evaluation frameworks. IEEE Transactions on Learning Technologies, 17(1), 88–104.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374151"/>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pBdr>
      <w:tabs>
        <w:tab w:val="right" w:pos="9026"/>
      </w:tabs>
    </w:pPr>
    <w:r>
      <w:rPr>
        <w:rFonts w:ascii="Times New Roman" w:cs="Times New Roman" w:eastAsia="Times New Roman" w:hAnsi="Times New Roman"/>
        <w:i/>
        <w:iCs/>
        <w:color w:val="374151"/>
        <w:sz w:val="18"/>
        <w:szCs w:val="18"/>
      </w:rPr>
      <w:t xml:space="preserve">PRESTIJ: A Proposed Agentic AI-Powered Scholarship Matching System</w:t>
    </w:r>
    <w:r>
      <w:t xml:space="preserve">	</w:t>
    </w:r>
    <w:r>
      <w:rPr>
        <w:rFonts w:ascii="Times New Roman" w:cs="Times New Roman" w:eastAsia="Times New Roman" w:hAnsi="Times New Roman"/>
        <w:color w:val="374151"/>
        <w:sz w:val="18"/>
        <w:szCs w:val="18"/>
      </w:rPr>
      <w:t xml:space="preserve">SBP Integrasi Kuantan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after="120" w:before="26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2026-06-30T07:46:05.746Z</dcterms:created>
  <dcterms:modified xsi:type="dcterms:W3CDTF">2026-06-30T07:46:05.747Z</dcterms:modified>
</cp:coreProperties>
</file>

<file path=docProps/custom.xml><?xml version="1.0" encoding="utf-8"?>
<Properties xmlns="http://schemas.openxmlformats.org/officeDocument/2006/custom-properties" xmlns:vt="http://schemas.openxmlformats.org/officeDocument/2006/docPropsVTypes"/>
</file>