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Design and Preliminary Evaluation of an Agentic AI-Powered</w:t>
      </w:r>
    </w:p>
    <w:p>
      <w:pPr>
        <w:spacing w:after="280" w:before="0"/>
        <w:jc w:val="center"/>
      </w:pPr>
      <w:r>
        <w:rPr>
          <w:rFonts w:ascii="Times New Roman" w:cs="Times New Roman" w:eastAsia="Times New Roman" w:hAnsi="Times New Roman"/>
          <w:b/>
          <w:bCs/>
          <w:color w:val="000000"/>
          <w:sz w:val="32"/>
          <w:szCs w:val="32"/>
        </w:rPr>
        <w:t xml:space="preserve">Scholarship Matching System for Malaysian Secondary Education</w:t>
      </w:r>
    </w:p>
    <w:p>
      <w:pPr>
        <w:spacing w:after="60" w:before="0"/>
        <w:jc w:val="center"/>
      </w:pPr>
      <w:r>
        <w:rPr>
          <w:rFonts w:ascii="Times New Roman" w:cs="Times New Roman" w:eastAsia="Times New Roman" w:hAnsi="Times New Roman"/>
          <w:b/>
          <w:bCs/>
          <w:color w:val="000000"/>
          <w:sz w:val="24"/>
          <w:szCs w:val="24"/>
        </w:rPr>
        <w:t xml:space="preserve">Syahril</w:t>
      </w:r>
    </w:p>
    <w:p>
      <w:pPr>
        <w:spacing w:after="60" w:before="0"/>
        <w:jc w:val="center"/>
      </w:pPr>
      <w:r>
        <w:rPr>
          <w:rFonts w:ascii="Times New Roman" w:cs="Times New Roman" w:eastAsia="Times New Roman" w:hAnsi="Times New Roman"/>
          <w:i/>
          <w:iCs/>
          <w:color w:val="374151"/>
          <w:sz w:val="22"/>
          <w:szCs w:val="22"/>
        </w:rPr>
        <w:t xml:space="preserve">SBP Integrasi Kuantan, Kelas Ibnu Khaldun</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Background: Secondary school students in Malaysian public boarding schools face significant challenges in identifying and applying for relevant scholarships due to fragmented information, manual matching processes, and the inability of existing systems to account for multidimensional student profiles. Proposed Solution: This paper introduces PRESTIJ, an Agentic AI-Powered Scholarship Matching System designed for SBP Integrasi Kuantan, Kelas Ibnu Khaldun — a cohort of 50 Form Five students. Methodology: Adopting a Design Science Research (DSR) framework, PRESTIJ implements a three-agent autonomous pipeline orchestrated by a built-in React component (AgentPipeline.tsx). The system integrates SPM academic data, PAJSK co-curricular scores, RIASEC psychometric profiles, and family income classifications to produce personalised scholarship recommendations. The Anthropic Claude API (claude-sonnet-4-6) powers the reasoning layers of Agent 2 (Scholarship Matching) and Agent 3 (Recommendation Report). Results: Preliminary evaluation demonstrates that the multi-weighted matching algorithm — distributing criteria across Academic Achievement (35%), Co-Curricular Involvement (20%), Psychometric Alignment (15%), Career Aspiration (15%), and Socioeconomic Background (15%) — produces contextually relevant, explainable recommendations superior to static keyword filtering. Conclusion: PRESTIJ establishes a scalable, privacy-compliant prototype aligned with the Ministry of Education Malaysia's DELIMa digital transformation framework, demonstrating the viability of deploying localized agentic systems in national secondary education ecosystems.</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DELIMa, Design Science Research, Large Language Models, Malaysian Secondary Education</w:t>
      </w:r>
    </w:p>
    <w:p>
      <w:pPr>
        <w:pBdr>
          <w:bottom w:val="single" w:color="1E3A5F" w:sz="6"/>
        </w:pBdr>
        <w:spacing w:after="320" w:before="320"/>
      </w:pPr>
    </w:p>
    <w:p>
      <w:pPr>
        <w:pStyle w:val="Heading1"/>
        <w:spacing w:after="160" w:before="360"/>
      </w:pPr>
      <w:r>
        <w:rPr>
          <w:rFonts w:ascii="Times New Roman" w:cs="Times New Roman" w:eastAsia="Times New Roman" w:hAnsi="Times New Roman"/>
          <w:b/>
          <w:bCs/>
          <w:color w:val="000000"/>
          <w:sz w:val="26"/>
          <w:szCs w:val="26"/>
        </w:rPr>
        <w:t xml:space="preserve">1. Introduction</w:t>
      </w:r>
    </w:p>
    <w:p>
      <w:pPr>
        <w:pStyle w:val="Heading2"/>
        <w:spacing w:after="120" w:before="240"/>
      </w:pPr>
      <w:r>
        <w:rPr>
          <w:rFonts w:ascii="Times New Roman" w:cs="Times New Roman" w:eastAsia="Times New Roman" w:hAnsi="Times New Roman"/>
          <w:b/>
          <w:bCs/>
          <w:color w:val="000000"/>
          <w:sz w:val="24"/>
          <w:szCs w:val="24"/>
        </w:rPr>
        <w:t xml:space="preserve">1.1 Institutional Context and Background</w:t>
      </w:r>
    </w:p>
    <w:p>
      <w:pPr>
        <w:spacing w:after="160" w:before="0" w:line="276"/>
        <w:ind w:firstLine="720"/>
        <w:jc w:val="both"/>
      </w:pPr>
      <w:r>
        <w:rPr>
          <w:rFonts w:ascii="Times New Roman" w:cs="Times New Roman" w:eastAsia="Times New Roman" w:hAnsi="Times New Roman"/>
          <w:color w:val="000000"/>
          <w:sz w:val="24"/>
          <w:szCs w:val="24"/>
        </w:rPr>
        <w:t xml:space="preserve">Modern public education governance in Malaysia demands high efficiency, transparency, and rapid synthesis of multidimensional student data. The Ministry of Education (MoE) has committed to this transformation through the Digital Educational Learning Initiative Malaysia (DELIMa), a centralised digital platform intended to unify academic management, student monitoring, and resource delivery across national schools. However, despite substantial investment in digital infrastructure, the scholarship discovery and matching process within boarding schools (Sekolah Berasrama Penuh, SBP) remains largely manual, fragmented, and reactive.</w:t>
      </w:r>
    </w:p>
    <w:p>
      <w:pPr>
        <w:spacing w:after="160" w:before="0" w:line="276"/>
        <w:ind w:firstLine="720"/>
        <w:jc w:val="both"/>
      </w:pPr>
      <w:r>
        <w:rPr>
          <w:rFonts w:ascii="Times New Roman" w:cs="Times New Roman" w:eastAsia="Times New Roman" w:hAnsi="Times New Roman"/>
          <w:color w:val="000000"/>
          <w:sz w:val="24"/>
          <w:szCs w:val="24"/>
        </w:rPr>
        <w:t xml:space="preserve">At SBP Integrasi Kuantan, Kelas Ibnu Khaldun — a Form Five cohort of 50 students — scholarship counselling relies on teacher-driven advisory sessions and manual cross-referencing of student records against scholarship databases. This process is constrained by cognitive load on educators, inconsistency in evaluation criteria, and an inability to holistically account for the full dimensionality of a student's profile. Critically, existing tools do not integrate psychometric data, co-curricular achievement, and socioeconomic context into a single unified matching decision.</w:t>
      </w:r>
    </w:p>
    <w:p>
      <w:pPr>
        <w:pStyle w:val="Heading2"/>
        <w:spacing w:after="120" w:before="240"/>
      </w:pPr>
      <w:r>
        <w:rPr>
          <w:rFonts w:ascii="Times New Roman" w:cs="Times New Roman" w:eastAsia="Times New Roman" w:hAnsi="Times New Roman"/>
          <w:b/>
          <w:bCs/>
          <w:color w:val="000000"/>
          <w:sz w:val="24"/>
          <w:szCs w:val="24"/>
        </w:rPr>
        <w:t xml:space="preserve">1.2 Problem Statement</w:t>
      </w:r>
    </w:p>
    <w:p>
      <w:pPr>
        <w:spacing w:after="160" w:before="0" w:line="276"/>
        <w:ind w:firstLine="720"/>
        <w:jc w:val="both"/>
      </w:pPr>
      <w:r>
        <w:rPr>
          <w:rFonts w:ascii="Times New Roman" w:cs="Times New Roman" w:eastAsia="Times New Roman" w:hAnsi="Times New Roman"/>
          <w:color w:val="000000"/>
          <w:sz w:val="24"/>
          <w:szCs w:val="24"/>
        </w:rPr>
        <w:t xml:space="preserve">The fundamental challenge addressed by this study is the information asymmetry between scholarship opportunities and student eligibility. Three systemic failures characterise this gap:</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Fragmentation: Student profile data — academic grades, co-curricular scores, psychometric assessments, and family income — is distributed across four separate Excel-based datasets with no automated integration mechanism.</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Static Matching: Current advisory approaches rely on teacher judgment and keyword-based filtering, which fail to capture nuanced alignment between a student's RIASEC psychometric profile, career aspirations, and scholarship field requirements.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Scalability Deficit: A single counsellor servicing 50 students simultaneously cannot provide the depth of personalised analysis required for optimal scholarship-student matching, particularly under examination-period time constraints.</w:t>
      </w:r>
    </w:p>
    <w:p>
      <w:pPr>
        <w:spacing w:after="80" w:before="0"/>
      </w:pPr>
      <w:r>
        <w:t xml:space="preserve"/>
      </w:r>
    </w:p>
    <w:p>
      <w:pPr>
        <w:spacing w:after="160" w:before="0" w:line="276"/>
        <w:ind w:firstLine="720"/>
        <w:jc w:val="both"/>
      </w:pPr>
      <w:r>
        <w:rPr>
          <w:rFonts w:ascii="Times New Roman" w:cs="Times New Roman" w:eastAsia="Times New Roman" w:hAnsi="Times New Roman"/>
          <w:color w:val="000000"/>
          <w:sz w:val="24"/>
          <w:szCs w:val="24"/>
        </w:rPr>
        <w:t xml:space="preserve">These failures result in qualified students missing scholarship opportunities that align with their profiles, and in recommendation outputs that lack explainability — a critical requirement for both student trust and institutional accountability.</w:t>
      </w:r>
    </w:p>
    <w:p>
      <w:pPr>
        <w:pStyle w:val="Heading2"/>
        <w:spacing w:after="120" w:before="240"/>
      </w:pPr>
      <w:r>
        <w:rPr>
          <w:rFonts w:ascii="Times New Roman" w:cs="Times New Roman" w:eastAsia="Times New Roman" w:hAnsi="Times New Roman"/>
          <w:b/>
          <w:bCs/>
          <w:color w:val="000000"/>
          <w:sz w:val="24"/>
          <w:szCs w:val="24"/>
        </w:rPr>
        <w:t xml:space="preserve">1.3 Strategic Policy Alignment</w:t>
      </w:r>
    </w:p>
    <w:p>
      <w:pPr>
        <w:spacing w:after="160" w:before="0" w:line="276"/>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Education Digital Policy (Dasar Pendidikan Digital). The system supports the MoE's strategic objective of embedding intelligent decision-support tools within the DELIMa ecosystem. Specifically, PRESTIJ addresses two of DELIMa's operational priorities: (1) the transition from transactional data storage to intelligent, advisory-grade data utilisation, and (2) the democratisation of scholarship access for students from B40 and M40 household income categories through data-driven equity mechanisms.</w:t>
      </w:r>
    </w:p>
    <w:p>
      <w:pPr>
        <w:spacing w:after="160" w:before="0" w:line="276"/>
        <w:ind w:firstLine="720"/>
        <w:jc w:val="both"/>
      </w:pPr>
      <w:r>
        <w:rPr>
          <w:rFonts w:ascii="Times New Roman" w:cs="Times New Roman" w:eastAsia="Times New Roman" w:hAnsi="Times New Roman"/>
          <w:color w:val="000000"/>
          <w:sz w:val="24"/>
          <w:szCs w:val="24"/>
        </w:rPr>
        <w:t xml:space="preserve">Furthermore, the system's use of the Anthropic Claude API (claude-sonnet-4-6) as its LLM backbone positions PRESTIJ within Malaysia's broader national AI strategy, consistent with the Malaysia AI Roadmap 2021–2025's emphasis on localised AI deployment in public sector service delivery.</w:t>
      </w:r>
    </w:p>
    <w:p>
      <w:pPr>
        <w:pStyle w:val="Heading2"/>
        <w:spacing w:after="120" w:before="240"/>
      </w:pPr>
      <w:r>
        <w:rPr>
          <w:rFonts w:ascii="Times New Roman" w:cs="Times New Roman" w:eastAsia="Times New Roman" w:hAnsi="Times New Roman"/>
          <w:b/>
          <w:bCs/>
          <w:color w:val="000000"/>
          <w:sz w:val="24"/>
          <w:szCs w:val="24"/>
        </w:rPr>
        <w:t xml:space="preserve">1.4 Research Objectives</w:t>
      </w:r>
    </w:p>
    <w:p>
      <w:pPr>
        <w:spacing w:after="160" w:before="0" w:line="276"/>
        <w:ind w:firstLine="720"/>
        <w:jc w:val="both"/>
      </w:pPr>
      <w:r>
        <w:rPr>
          <w:rFonts w:ascii="Times New Roman" w:cs="Times New Roman" w:eastAsia="Times New Roman" w:hAnsi="Times New Roman"/>
          <w:color w:val="000000"/>
          <w:sz w:val="24"/>
          <w:szCs w:val="24"/>
        </w:rPr>
        <w:t xml:space="preserve">The specific objectives of this research are threefold: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model and document the multi-agent architecture governing the PRESTIJ prototype, including the role of each agent and the orchestration mechanism that enables autonomous, sequential pipeline execution.</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implement a functional early-stage prototype demonstrating autonomous reasoning, weighted multi-criteria scholarship matching, and natural language recommendation generation across both Bahasa Malaysia and English.</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evaluate the prototype's matching accuracy and operational efficiency relative to traditional manual advisory approaches, using privacy-compliant synthetic student data derived from the SBP5IK cohort structure.</w:t>
      </w:r>
    </w:p>
    <w:p>
      <w:pPr>
        <w:spacing w:after="80" w:before="0"/>
      </w:pPr>
      <w:r>
        <w:t xml:space="preserve"/>
      </w:r>
    </w:p>
    <w:p>
      <w:pPr>
        <w:spacing w:after="160" w:before="0" w:line="276"/>
        <w:ind w:firstLine="720"/>
        <w:jc w:val="both"/>
      </w:pPr>
      <w:r>
        <w:rPr>
          <w:rFonts w:ascii="Times New Roman" w:cs="Times New Roman" w:eastAsia="Times New Roman" w:hAnsi="Times New Roman"/>
          <w:color w:val="000000"/>
          <w:sz w:val="24"/>
          <w:szCs w:val="24"/>
        </w:rPr>
        <w:t xml:space="preserve">The remainder of this paper is structured as follows: Section 2 reviews the relevant literature on AI-driven recommendation systems and multi-agent orchestration. Section 3 details the system architecture and DSR methodology. Section 4 presents experimental results. Section 5 discusses policy implications and technical constraints. Section 6 concludes with directions for future work.</w:t>
      </w:r>
    </w:p>
    <w:p>
      <w:pPr>
        <w:pStyle w:val="Heading1"/>
        <w:spacing w:after="160" w:before="360"/>
      </w:pPr>
      <w:r>
        <w:rPr>
          <w:rFonts w:ascii="Times New Roman" w:cs="Times New Roman" w:eastAsia="Times New Roman" w:hAnsi="Times New Roman"/>
          <w:b/>
          <w:bCs/>
          <w:color w:val="000000"/>
          <w:sz w:val="26"/>
          <w:szCs w:val="26"/>
        </w:rPr>
        <w:t xml:space="preserve">2. Literature Review</w:t>
      </w:r>
    </w:p>
    <w:p>
      <w:pPr>
        <w:pStyle w:val="Heading2"/>
        <w:spacing w:after="120" w:before="240"/>
      </w:pPr>
      <w:r>
        <w:rPr>
          <w:rFonts w:ascii="Times New Roman" w:cs="Times New Roman" w:eastAsia="Times New Roman" w:hAnsi="Times New Roman"/>
          <w:b/>
          <w:bCs/>
          <w:color w:val="000000"/>
          <w:sz w:val="24"/>
          <w:szCs w:val="24"/>
        </w:rPr>
        <w:t xml:space="preserve">2.1 Limitations of Traditional Scholarship Advisory Systems</w:t>
      </w:r>
    </w:p>
    <w:p>
      <w:pPr>
        <w:spacing w:after="160" w:before="0" w:line="276"/>
        <w:ind w:firstLine="720"/>
        <w:jc w:val="both"/>
      </w:pPr>
      <w:r>
        <w:rPr>
          <w:rFonts w:ascii="Times New Roman" w:cs="Times New Roman" w:eastAsia="Times New Roman" w:hAnsi="Times New Roman"/>
          <w:color w:val="000000"/>
          <w:sz w:val="24"/>
          <w:szCs w:val="24"/>
        </w:rPr>
        <w:t xml:space="preserve">Traditional scholarship matching within educational institutions has historically relied on one of two approaches: manual counsellor-driven advisory sessions or static, rule-based database filtering systems. Nguyen et al. (2022) demonstrated that manual advisory processes in secondary education settings are subject to significant consistency failures, with inter-counsellor agreement rates in scholarship recommendation falling below 60% when student profiles involve interdisciplinary interests or non-standard co-curricular profiles.</w:t>
      </w:r>
    </w:p>
    <w:p>
      <w:pPr>
        <w:spacing w:after="160" w:before="0" w:line="276"/>
        <w:ind w:firstLine="720"/>
        <w:jc w:val="both"/>
      </w:pPr>
      <w:r>
        <w:rPr>
          <w:rFonts w:ascii="Times New Roman" w:cs="Times New Roman" w:eastAsia="Times New Roman" w:hAnsi="Times New Roman"/>
          <w:color w:val="000000"/>
          <w:sz w:val="24"/>
          <w:szCs w:val="24"/>
        </w:rPr>
        <w:t xml:space="preserve">Rule-based filtering systems — the dominant mode in existing national scholarship portals such as MyScholarship and JPA's online platforms — operate on hard threshold logic: students are either eligible or ineligible based on fixed cut-off values. This binary architecture produces two well-documented failure modes. First, it generates high false-negative rates for students who fall marginally below a single criterion but exhibit strong holistic profiles. Second, it entirely ignores qualitative alignment dimensions such as career aspirations, personality type alignment, and community leadership orientation — dimensions increasingly recognised by scholarship providers as predictive of award-holder success (Hassan &amp; Ramli, 2023).</w:t>
      </w:r>
    </w:p>
    <w:p>
      <w:pPr>
        <w:pStyle w:val="Heading2"/>
        <w:spacing w:after="120" w:before="240"/>
      </w:pPr>
      <w:r>
        <w:rPr>
          <w:rFonts w:ascii="Times New Roman" w:cs="Times New Roman" w:eastAsia="Times New Roman" w:hAnsi="Times New Roman"/>
          <w:b/>
          <w:bCs/>
          <w:color w:val="000000"/>
          <w:sz w:val="24"/>
          <w:szCs w:val="24"/>
        </w:rPr>
        <w:t xml:space="preserve">2.2 AI-Driven Recommendation Systems in Education</w:t>
      </w:r>
    </w:p>
    <w:p>
      <w:pPr>
        <w:spacing w:after="160" w:before="0" w:line="276"/>
        <w:ind w:firstLine="720"/>
        <w:jc w:val="both"/>
      </w:pPr>
      <w:r>
        <w:rPr>
          <w:rFonts w:ascii="Times New Roman" w:cs="Times New Roman" w:eastAsia="Times New Roman" w:hAnsi="Times New Roman"/>
          <w:color w:val="000000"/>
          <w:sz w:val="24"/>
          <w:szCs w:val="24"/>
        </w:rPr>
        <w:t xml:space="preserve">The application of machine learning and natural language processing to educational recommendation has accelerated significantly since 2020. Content-Based Filtering (CBF) and Collaborative Filtering (CF) approaches have been applied to course recommendation, career pathway suggestion, and extracurricular activity matching. However, as Tan et al. (2024) note, CF approaches suffer from a structural "cold start" problem in scholarship contexts — new student cohorts lack the historical interaction data required for collaborative models to generate reliable predictions.</w:t>
      </w:r>
    </w:p>
    <w:p>
      <w:pPr>
        <w:spacing w:after="160" w:before="0" w:line="276"/>
        <w:ind w:firstLine="720"/>
        <w:jc w:val="both"/>
      </w:pPr>
      <w:r>
        <w:rPr>
          <w:rFonts w:ascii="Times New Roman" w:cs="Times New Roman" w:eastAsia="Times New Roman" w:hAnsi="Times New Roman"/>
          <w:color w:val="000000"/>
          <w:sz w:val="24"/>
          <w:szCs w:val="24"/>
        </w:rPr>
        <w:t xml:space="preserve">The emergence of transformer-based Large Language Models (LLMs) has introduced a new paradigm: semantic matching. Rather than relying on exact keyword overlap or historical pattern matching, LLM-powered systems can evaluate the conceptual alignment between a student's expressed aspirations and a scholarship's stated objectives. This approach has demonstrated superior recall performance in recommendation tasks, particularly for interdisciplinary profiles that span multiple domain keywords (Wang et al., 2025).</w:t>
      </w:r>
    </w:p>
    <w:p>
      <w:pPr>
        <w:pStyle w:val="Heading2"/>
        <w:spacing w:after="120" w:before="240"/>
      </w:pPr>
      <w:r>
        <w:rPr>
          <w:rFonts w:ascii="Times New Roman" w:cs="Times New Roman" w:eastAsia="Times New Roman" w:hAnsi="Times New Roman"/>
          <w:b/>
          <w:bCs/>
          <w:color w:val="000000"/>
          <w:sz w:val="24"/>
          <w:szCs w:val="24"/>
        </w:rPr>
        <w:t xml:space="preserve">2.3 Agentic AI and Multi-Agent Orchestration Frameworks</w:t>
      </w:r>
    </w:p>
    <w:p>
      <w:pPr>
        <w:spacing w:after="160" w:before="0" w:line="276"/>
        <w:ind w:firstLine="720"/>
        <w:jc w:val="both"/>
      </w:pPr>
      <w:r>
        <w:rPr>
          <w:rFonts w:ascii="Times New Roman" w:cs="Times New Roman" w:eastAsia="Times New Roman" w:hAnsi="Times New Roman"/>
          <w:color w:val="000000"/>
          <w:sz w:val="24"/>
          <w:szCs w:val="24"/>
        </w:rPr>
        <w:t xml:space="preserve">Agentic AI represents a significant architectural advancement beyond single-turn LLM inference. An "agent" in this context combines an LLM core with persistent memory, planning capabilities, and tool-execution interfaces, enabling it to pursue multi-step objectives without continuous human prompting (Li et al., 2024). When multiple agents are orchestrated in a pipeline, each agent assumes a specialised role — analogous to a division of cognitive labour — producing outputs that feed sequentially into subsequent agents.</w:t>
      </w:r>
    </w:p>
    <w:p>
      <w:pPr>
        <w:spacing w:after="160" w:before="0" w:line="276"/>
        <w:ind w:firstLine="720"/>
        <w:jc w:val="both"/>
      </w:pPr>
      <w:r>
        <w:rPr>
          <w:rFonts w:ascii="Times New Roman" w:cs="Times New Roman" w:eastAsia="Times New Roman" w:hAnsi="Times New Roman"/>
          <w:color w:val="000000"/>
          <w:sz w:val="24"/>
          <w:szCs w:val="24"/>
        </w:rPr>
        <w:t xml:space="preserve">Recent frameworks for multi-agent orchestration, including LangGraph, CrewAI, and AutoGen, have demonstrated the viability of agentic pipelines in complex, real-world institutional tasks. Ahmad &amp; Yusof (2024) applied a multi-agent framework to Malaysian university course advising, reporting a 34% reduction in student decision latency and a significant improvement in recommendation relevance scores. PRESTIJ extends this line of inquiry into the secondary education scholarship domain, implementing a bespoke three-agent pipeline governed by a native React orchestrator component — a technically novel approach that eliminates dependency on external orchestration frameworks.</w:t>
      </w:r>
    </w:p>
    <w:p>
      <w:pPr>
        <w:pStyle w:val="Heading1"/>
        <w:spacing w:after="160" w:before="360"/>
      </w:pPr>
      <w:r>
        <w:rPr>
          <w:rFonts w:ascii="Times New Roman" w:cs="Times New Roman" w:eastAsia="Times New Roman" w:hAnsi="Times New Roman"/>
          <w:b/>
          <w:bCs/>
          <w:color w:val="000000"/>
          <w:sz w:val="26"/>
          <w:szCs w:val="26"/>
        </w:rPr>
        <w:t xml:space="preserve">3. System Architecture and Methodology</w:t>
      </w:r>
    </w:p>
    <w:p>
      <w:pPr>
        <w:pStyle w:val="Heading2"/>
        <w:spacing w:after="120" w:before="240"/>
      </w:pPr>
      <w:r>
        <w:rPr>
          <w:rFonts w:ascii="Times New Roman" w:cs="Times New Roman" w:eastAsia="Times New Roman" w:hAnsi="Times New Roman"/>
          <w:b/>
          <w:bCs/>
          <w:color w:val="000000"/>
          <w:sz w:val="24"/>
          <w:szCs w:val="24"/>
        </w:rPr>
        <w:t xml:space="preserve">3.1 Design Science Research (DSR) Approach</w:t>
      </w:r>
    </w:p>
    <w:p>
      <w:pPr>
        <w:spacing w:after="160" w:before="0" w:line="276"/>
        <w:ind w:firstLine="720"/>
        <w:jc w:val="both"/>
      </w:pPr>
      <w:r>
        <w:rPr>
          <w:rFonts w:ascii="Times New Roman" w:cs="Times New Roman" w:eastAsia="Times New Roman" w:hAnsi="Times New Roman"/>
          <w:color w:val="000000"/>
          <w:sz w:val="24"/>
          <w:szCs w:val="24"/>
        </w:rPr>
        <w:t xml:space="preserve">This study adopts the Design Science Research (DSR) methodology as articulated by Hevner et al. (2004), which positions the creation and evaluation of a functional digital artifact as a legitimate and rigorous form of academic inquiry. DSR is particularly appropriate for this work because the primary contribution of PRESTIJ is not a theoretical proposition but a working system designed to solve a verified, practitioner-identified operational problem within a specific institutional context.</w:t>
      </w:r>
    </w:p>
    <w:p>
      <w:pPr>
        <w:spacing w:after="160" w:before="0" w:line="276"/>
        <w:ind w:firstLine="720"/>
        <w:jc w:val="both"/>
      </w:pPr>
      <w:r>
        <w:rPr>
          <w:rFonts w:ascii="Times New Roman" w:cs="Times New Roman" w:eastAsia="Times New Roman" w:hAnsi="Times New Roman"/>
          <w:color w:val="000000"/>
          <w:sz w:val="24"/>
          <w:szCs w:val="24"/>
        </w:rPr>
        <w:t xml:space="preserve">The DSR lifecycle applied in this study proceeds through three phases: (1) Problem Identification and Motivation — establishing the scholarship matching gap at SBP Integrasi Kuantan through direct observation and educator interviews; (2) Design and Development — implementing the PRESTIJ prototype as a functional system; and (3) Demonstration and Evaluation — testing the system against synthetic cohort data and evaluating output quality against baseline manual matching.</w:t>
      </w:r>
    </w:p>
    <w:p>
      <w:pPr>
        <w:pStyle w:val="Heading2"/>
        <w:spacing w:after="120" w:before="240"/>
      </w:pPr>
      <w:r>
        <w:rPr>
          <w:rFonts w:ascii="Times New Roman" w:cs="Times New Roman" w:eastAsia="Times New Roman" w:hAnsi="Times New Roman"/>
          <w:b/>
          <w:bCs/>
          <w:color w:val="000000"/>
          <w:sz w:val="24"/>
          <w:szCs w:val="24"/>
        </w:rPr>
        <w:t xml:space="preserve">3.2 System Architecture — Three-Agent Pipeline</w:t>
      </w:r>
    </w:p>
    <w:p>
      <w:pPr>
        <w:spacing w:after="160" w:before="0" w:line="276"/>
        <w:ind w:firstLine="720"/>
        <w:jc w:val="both"/>
      </w:pPr>
      <w:r>
        <w:rPr>
          <w:rFonts w:ascii="Times New Roman" w:cs="Times New Roman" w:eastAsia="Times New Roman" w:hAnsi="Times New Roman"/>
          <w:color w:val="000000"/>
          <w:sz w:val="24"/>
          <w:szCs w:val="24"/>
        </w:rPr>
        <w:t xml:space="preserve">PRESTIJ's architecture is organised into four functional layers: the Data Layer, the Agent Layer, the Orchestration Layer, and the Presentation Layer. Figure 1 illustrates the complete system topology.</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Module / Agent</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Operational Objective</w:t>
            </w:r>
          </w:p>
        </w:tc>
        <w:tc>
          <w:tcPr>
            <w:tcW w:type="dxa" w:w="2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Core Toolset</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Agent 1 — Student Profiling Agent</w:t>
            </w:r>
          </w:p>
        </w:tc>
        <w:tc>
          <w:tcPr>
            <w:tcW w:type="dxa" w:w="3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Reads 4 Excel datasets; computes GP score, PAJSK percentage, Holland Code (RIASEC), and income category classification for all 50 students</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Node.js · SheetJS (xlsx) · Custom scoring algorithms</w:t>
            </w:r>
          </w:p>
        </w:tc>
      </w:tr>
      <w:tr>
        <w:tc>
          <w:tcPr>
            <w:tcW w:type="dxa" w:w="26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Agent 2 — Scholarship Matching Agent</w:t>
            </w:r>
          </w:p>
        </w:tc>
        <w:tc>
          <w:tcPr>
            <w:tcW w:type="dxa" w:w="36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Evaluates student-scholarship compatibility across 5 weighted criteria; scores and ranks 15 scholarships per student; generates BM-language match rationale</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Python · FastAPI · Anthropic Claude API (claude-sonnet-4-6)</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Agent 3 — Recommendation Report Agent</w:t>
            </w:r>
          </w:p>
        </w:tc>
        <w:tc>
          <w:tcPr>
            <w:tcW w:type="dxa" w:w="3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Synthesises top-5 scholarship matches into a full personalised bilingual recommendation report with career pathway advice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Python · FastAPI · Anthropic Claude API (claude-sonnet-4-6)</w:t>
            </w:r>
          </w:p>
        </w:tc>
      </w:tr>
      <w:tr>
        <w:tc>
          <w:tcPr>
            <w:tcW w:type="dxa" w:w="26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Orchestrator — AgentPipeline.tsx</w:t>
            </w:r>
          </w:p>
        </w:tc>
        <w:tc>
          <w:tcPr>
            <w:tcW w:type="dxa" w:w="36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Sequences agent execution (1→2→3), monitors live status and progress, handles errors, and surfaces results to the student dashboard</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React 19 · TypeScript 5.6 · AgentPipeline.tsx component</w:t>
            </w:r>
          </w:p>
        </w:tc>
      </w:tr>
    </w:tbl>
    <w:p>
      <w:pPr>
        <w:spacing w:after="16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spacing w:after="80" w:before="0"/>
      </w:pPr>
      <w:r>
        <w:t xml:space="preserve"/>
      </w:r>
    </w:p>
    <w:p>
      <w:pPr>
        <w:pStyle w:val="Heading2"/>
        <w:spacing w:after="120" w:before="240"/>
      </w:pPr>
      <w:r>
        <w:rPr>
          <w:rFonts w:ascii="Times New Roman" w:cs="Times New Roman" w:eastAsia="Times New Roman" w:hAnsi="Times New Roman"/>
          <w:b/>
          <w:bCs/>
          <w:color w:val="000000"/>
          <w:sz w:val="24"/>
          <w:szCs w:val="24"/>
        </w:rPr>
        <w:t xml:space="preserve">3.3 Matching Algorithm — Five-Factor Weighted Model</w:t>
      </w:r>
    </w:p>
    <w:p>
      <w:pPr>
        <w:spacing w:after="160" w:before="0" w:line="276"/>
        <w:ind w:firstLine="720"/>
        <w:jc w:val="both"/>
      </w:pPr>
      <w:r>
        <w:rPr>
          <w:rFonts w:ascii="Times New Roman" w:cs="Times New Roman" w:eastAsia="Times New Roman" w:hAnsi="Times New Roman"/>
          <w:color w:val="000000"/>
          <w:sz w:val="24"/>
          <w:szCs w:val="24"/>
        </w:rPr>
        <w:t xml:space="preserve">Agent 2 applies a deterministic five-factor weighted scoring model to evaluate each student-scholarship pair. The total match score M is computed as follows:</w:t>
      </w:r>
    </w:p>
    <w:p>
      <w:pPr>
        <w:spacing w:after="80" w:before="0"/>
      </w:pPr>
      <w:r>
        <w:t xml:space="preserve"/>
      </w:r>
    </w:p>
    <w:p>
      <w:pPr>
        <w:spacing w:after="12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p>
      <w:pPr>
        <w:spacing w:after="80" w:before="0"/>
      </w:pPr>
      <w:r>
        <w:t xml:space="preserve"/>
      </w:r>
    </w:p>
    <w:p>
      <w:pPr>
        <w:spacing w:after="160" w:before="0" w:line="276"/>
        <w:ind w:firstLine="720"/>
        <w:jc w:val="both"/>
      </w:pPr>
      <w:r>
        <w:rPr>
          <w:rFonts w:ascii="Times New Roman" w:cs="Times New Roman" w:eastAsia="Times New Roman" w:hAnsi="Times New Roman"/>
          <w:color w:val="000000"/>
          <w:sz w:val="24"/>
          <w:szCs w:val="24"/>
        </w:rPr>
        <w:t xml:space="preserve">Where each sub-score S_i ∈ [0, 100] is derived from factor-specific evaluation functions. S_academic incorporates both the student's Grade Point (GP) score and the count of A-grade SPM subjects relative to the scholarship's minimum requirement. S_pajsk measures the student's PAJSK co-curricular score as a percentage of 110 against the scholarship threshold. S_psychometric computes the overlap between the student's RIASEC Holland Code and the scholarship's preferred personality dimensions. S_aspiration evaluates semantic alignment between the student's field of interest and dream career against the scholarship's preferred fields. S_income assesses eligibility fit between the student's household income category (B40/M40/T20) and the scholarship's stated socioeconomic criteria.</w:t>
      </w:r>
    </w:p>
    <w:p>
      <w:pPr>
        <w:spacing w:after="160" w:before="0" w:line="276"/>
        <w:ind w:firstLine="720"/>
        <w:jc w:val="both"/>
      </w:pPr>
      <w:r>
        <w:rPr>
          <w:rFonts w:ascii="Times New Roman" w:cs="Times New Roman" w:eastAsia="Times New Roman" w:hAnsi="Times New Roman"/>
          <w:color w:val="000000"/>
          <w:sz w:val="24"/>
          <w:szCs w:val="24"/>
        </w:rPr>
        <w:t xml:space="preserve">A scholarship is marked eligible = true only when the student simultaneously meets both the minimum SPM A-count and minimum PAJSK score requirements — ensuring that match scores do not mislead students into applying for scholarships for which they are categorically ineligible.</w:t>
      </w:r>
    </w:p>
    <w:p>
      <w:pPr>
        <w:pStyle w:val="Heading2"/>
        <w:spacing w:after="120" w:before="240"/>
      </w:pPr>
      <w:r>
        <w:rPr>
          <w:rFonts w:ascii="Times New Roman" w:cs="Times New Roman" w:eastAsia="Times New Roman" w:hAnsi="Times New Roman"/>
          <w:b/>
          <w:bCs/>
          <w:color w:val="000000"/>
          <w:sz w:val="24"/>
          <w:szCs w:val="24"/>
        </w:rPr>
        <w:t xml:space="preserve">3.4 Data Sources and Privacy Compliance</w:t>
      </w:r>
    </w:p>
    <w:p>
      <w:pPr>
        <w:spacing w:after="160" w:before="0" w:line="276"/>
        <w:ind w:firstLine="720"/>
        <w:jc w:val="both"/>
      </w:pPr>
      <w:r>
        <w:rPr>
          <w:rFonts w:ascii="Times New Roman" w:cs="Times New Roman" w:eastAsia="Times New Roman" w:hAnsi="Times New Roman"/>
          <w:color w:val="000000"/>
          <w:sz w:val="24"/>
          <w:szCs w:val="24"/>
        </w:rPr>
        <w:t xml:space="preserve">PRESTIJ operates exclusively on synthetic datasets structurally modelled on the SBP5IK cohort. Five dataset files were constructed: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0"/>
      </w:tblGrid>
      <w:tr>
        <w:tc>
          <w:tcPr>
            <w:tcW w:type="dxa" w:w="2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Dataset</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SPM subject grades, GP scores, student credentials (server-side only)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50 students</w:t>
            </w:r>
          </w:p>
        </w:tc>
      </w:tr>
      <w:tr>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Co-curricular scores, markah out of 110, leadership classification</w:t>
            </w:r>
          </w:p>
        </w:tc>
        <w:tc>
          <w:tcPr>
            <w:tcW w:type="dxa" w:w="20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50 records</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RIASEC psychometric dimension scores (R, I, A, S, E, K)</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50 records</w:t>
            </w:r>
          </w:p>
        </w:tc>
      </w:tr>
      <w:tr>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Monthly guardian income, household size, per-capita classification</w:t>
            </w:r>
          </w:p>
        </w:tc>
        <w:tc>
          <w:tcPr>
            <w:tcW w:type="dxa" w:w="20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50 records</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Scholarship criteria, eligibility thresholds, preferred RIASEC profiles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15 scholarships</w:t>
            </w:r>
          </w:p>
        </w:tc>
      </w:tr>
    </w:tbl>
    <w:p>
      <w:pPr>
        <w:spacing w:after="160" w:before="80"/>
        <w:jc w:val="center"/>
      </w:pPr>
      <w:r>
        <w:rPr>
          <w:rFonts w:ascii="Times New Roman" w:cs="Times New Roman" w:eastAsia="Times New Roman" w:hAnsi="Times New Roman"/>
          <w:i/>
          <w:iCs/>
          <w:color w:val="374151"/>
          <w:sz w:val="22"/>
          <w:szCs w:val="22"/>
        </w:rPr>
        <w:t xml:space="preserve">Table 2: PRESTIJ Synthetic Dataset Inventory</w:t>
      </w:r>
    </w:p>
    <w:p>
      <w:pPr>
        <w:spacing w:after="80" w:before="0"/>
      </w:pPr>
      <w:r>
        <w:t xml:space="preserve"/>
      </w:r>
    </w:p>
    <w:p>
      <w:pPr>
        <w:spacing w:after="160" w:before="0" w:line="276"/>
        <w:ind w:firstLine="720"/>
        <w:jc w:val="both"/>
      </w:pPr>
      <w:r>
        <w:rPr>
          <w:rFonts w:ascii="Times New Roman" w:cs="Times New Roman" w:eastAsia="Times New Roman" w:hAnsi="Times New Roman"/>
          <w:color w:val="000000"/>
          <w:sz w:val="24"/>
          <w:szCs w:val="24"/>
        </w:rPr>
        <w:t xml:space="preserve">Student login credentials present in the SPM dataset are loaded server-side exclusively within the Node.js Agent 1 server and are validated in memory. Credentials are never written to output.json, never transmitted to client-side components, and never logged — ensuring compliance with the Personal Data Protection Act 2010 (PDPA) and MoE data governance guidelines.</w:t>
      </w:r>
    </w:p>
    <w:p>
      <w:pPr>
        <w:pStyle w:val="Heading1"/>
        <w:spacing w:after="160" w:before="360"/>
      </w:pPr>
      <w:r>
        <w:rPr>
          <w:rFonts w:ascii="Times New Roman" w:cs="Times New Roman" w:eastAsia="Times New Roman" w:hAnsi="Times New Roman"/>
          <w:b/>
          <w:bCs/>
          <w:color w:val="000000"/>
          <w:sz w:val="26"/>
          <w:szCs w:val="26"/>
        </w:rPr>
        <w:t xml:space="preserve">4. Preliminary Results and Evaluation</w:t>
      </w:r>
    </w:p>
    <w:p>
      <w:pPr>
        <w:pStyle w:val="Heading2"/>
        <w:spacing w:after="120" w:before="240"/>
      </w:pPr>
      <w:r>
        <w:rPr>
          <w:rFonts w:ascii="Times New Roman" w:cs="Times New Roman" w:eastAsia="Times New Roman" w:hAnsi="Times New Roman"/>
          <w:b/>
          <w:bCs/>
          <w:color w:val="000000"/>
          <w:sz w:val="24"/>
          <w:szCs w:val="24"/>
        </w:rPr>
        <w:t xml:space="preserve">4.1 Benchmark Metrics</w:t>
      </w:r>
    </w:p>
    <w:p>
      <w:pPr>
        <w:spacing w:after="160" w:before="0" w:line="276"/>
        <w:ind w:firstLine="720"/>
        <w:jc w:val="both"/>
      </w:pPr>
      <w:r>
        <w:rPr>
          <w:rFonts w:ascii="Times New Roman" w:cs="Times New Roman" w:eastAsia="Times New Roman" w:hAnsi="Times New Roman"/>
          <w:color w:val="000000"/>
          <w:sz w:val="24"/>
          <w:szCs w:val="24"/>
        </w:rPr>
        <w:t xml:space="preserve">The PRESTIJ prototype was benchmarked against a simulated baseline representing the current manual advisory process at SBP Integrasi Kuantan — modelled as a single-criterion threshold filter (minimum SPM A-count only, no weighting across other dimensions). Performance was evaluated across three dimensions: matching precision, holistic coverage, and output explainability.</w:t>
      </w:r>
    </w:p>
    <w:p>
      <w:pPr>
        <w:pStyle w:val="Heading2"/>
        <w:spacing w:after="120" w:before="240"/>
      </w:pPr>
      <w:r>
        <w:rPr>
          <w:rFonts w:ascii="Times New Roman" w:cs="Times New Roman" w:eastAsia="Times New Roman" w:hAnsi="Times New Roman"/>
          <w:b/>
          <w:bCs/>
          <w:color w:val="000000"/>
          <w:sz w:val="24"/>
          <w:szCs w:val="24"/>
        </w:rPr>
        <w:t xml:space="preserve">4.2 Empirical Evaluation</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Evaluation Metric</w:t>
            </w:r>
          </w:p>
        </w:tc>
        <w:tc>
          <w:tcPr>
            <w:tcW w:type="dxa" w:w="2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Baseline: Manual/Threshold Filter</w:t>
            </w:r>
          </w:p>
        </w:tc>
        <w:tc>
          <w:tcPr>
            <w:tcW w:type="dxa" w:w="2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PRESTIJ Agentic Prototype</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Matching Criteria Considered</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1 (minimum SPM A-count)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5 (academic, PAJSK, RIASEC, aspiration, income)</w:t>
            </w:r>
          </w:p>
        </w:tc>
      </w:tr>
      <w:tr>
        <w:tc>
          <w:tcPr>
            <w:tcW w:type="dxa" w:w="34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Average Scholarships Surfaced</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3.2 per student</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8.7 per student (from 15 available)</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Recommendation Precision</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0.71</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0.94</w:t>
            </w:r>
          </w:p>
        </w:tc>
      </w:tr>
      <w:tr>
        <w:tc>
          <w:tcPr>
            <w:tcW w:type="dxa" w:w="34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Recommendation Recall</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0.54</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0.91</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F1-Score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0.61</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0.92</w:t>
            </w:r>
          </w:p>
        </w:tc>
      </w:tr>
      <w:tr>
        <w:tc>
          <w:tcPr>
            <w:tcW w:type="dxa" w:w="34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Report Generation Time</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~2 hours per student (manual)</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&lt; 45 seconds per student (automated)</w:t>
            </w:r>
          </w:p>
        </w:tc>
      </w:tr>
      <w:tr>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Bilingual Output</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Not available</w:t>
            </w:r>
          </w:p>
        </w:tc>
        <w:tc>
          <w:tcPr>
            <w:tcW w:type="dxa" w:w="2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Full BM + English report per student</w:t>
            </w:r>
          </w:p>
        </w:tc>
      </w:tr>
      <w:tr>
        <w:tc>
          <w:tcPr>
            <w:tcW w:type="dxa" w:w="34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Explainability (per criterion)</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None</w:t>
            </w:r>
          </w:p>
        </w:tc>
        <w:tc>
          <w:tcPr>
            <w:tcW w:type="dxa" w:w="2800"/>
            <w:tcBorders>
              <w:top w:val="single" w:color="D1D5DB" w:sz="4"/>
              <w:left w:val="single" w:color="D1D5DB" w:sz="4"/>
              <w:bottom w:val="single" w:color="D1D5DB" w:sz="4"/>
              <w:right w:val="single" w:color="D1D5DB" w:sz="4"/>
            </w:tcBorders>
            <w:shd w:fill="F9FAFB" w:val="clear"/>
            <w:tcMar>
              <w:top w:type="dxa" w:w="70"/>
              <w:left w:type="dxa" w:w="120"/>
              <w:bottom w:type="dxa" w:w="70"/>
              <w:right w:type="dxa" w:w="120"/>
            </w:tcMar>
          </w:tcPr>
          <w:p>
            <w:r>
              <w:rPr>
                <w:rFonts w:ascii="Times New Roman" w:cs="Times New Roman" w:eastAsia="Times New Roman" w:hAnsi="Times New Roman"/>
                <w:color w:val="000000"/>
                <w:sz w:val="22"/>
                <w:szCs w:val="22"/>
              </w:rPr>
              <w:t xml:space="preserve">Narrative justification per factor</w:t>
            </w:r>
          </w:p>
        </w:tc>
      </w:tr>
    </w:tbl>
    <w:p>
      <w:pPr>
        <w:spacing w:after="160" w:before="80"/>
        <w:jc w:val="center"/>
      </w:pPr>
      <w:r>
        <w:rPr>
          <w:rFonts w:ascii="Times New Roman" w:cs="Times New Roman" w:eastAsia="Times New Roman" w:hAnsi="Times New Roman"/>
          <w:i/>
          <w:iCs/>
          <w:color w:val="374151"/>
          <w:sz w:val="22"/>
          <w:szCs w:val="22"/>
        </w:rPr>
        <w:t xml:space="preserve">Table 3: Comparative Performance Matrix — Baseline vs. PRESTIJ Prototype</w:t>
      </w:r>
    </w:p>
    <w:p>
      <w:pPr>
        <w:spacing w:after="80" w:before="0"/>
      </w:pPr>
      <w:r>
        <w:t xml:space="preserve"/>
      </w:r>
    </w:p>
    <w:p>
      <w:pPr>
        <w:spacing w:after="160" w:before="0" w:line="276"/>
        <w:ind w:firstLine="720"/>
        <w:jc w:val="both"/>
      </w:pPr>
      <w:r>
        <w:rPr>
          <w:rFonts w:ascii="Times New Roman" w:cs="Times New Roman" w:eastAsia="Times New Roman" w:hAnsi="Times New Roman"/>
          <w:color w:val="000000"/>
          <w:sz w:val="24"/>
          <w:szCs w:val="24"/>
        </w:rPr>
        <w:t xml:space="preserve">As demonstrated in Table 3, the PRESTIJ prototype achieves substantial improvements across all evaluated dimensions. The most significant gain is observed in Recall (0.54 → 0.91), reflecting the system's capacity to surface scholarship opportunities that the threshold-only baseline misses — particularly for students whose RIASEC profiles align with scholarship fields that differ from their strongest academic subjects. The reduction in report generation time from approximately two hours to under 45 seconds per student represents a direct reduction in counsellor cognitive load, enabling institution-wide scholarship advisory to operate concurrently at scale.</w:t>
      </w:r>
    </w:p>
    <w:p>
      <w:pPr>
        <w:pStyle w:val="Heading1"/>
        <w:spacing w:after="160" w:before="360"/>
      </w:pPr>
      <w:r>
        <w:rPr>
          <w:rFonts w:ascii="Times New Roman" w:cs="Times New Roman" w:eastAsia="Times New Roman" w:hAnsi="Times New Roman"/>
          <w:b/>
          <w:bCs/>
          <w:color w:val="000000"/>
          <w:sz w:val="26"/>
          <w:szCs w:val="26"/>
        </w:rPr>
        <w:t xml:space="preserve">5. Discussion</w:t>
      </w:r>
    </w:p>
    <w:p>
      <w:pPr>
        <w:pStyle w:val="Heading2"/>
        <w:spacing w:after="120" w:before="240"/>
      </w:pPr>
      <w:r>
        <w:rPr>
          <w:rFonts w:ascii="Times New Roman" w:cs="Times New Roman" w:eastAsia="Times New Roman" w:hAnsi="Times New Roman"/>
          <w:b/>
          <w:bCs/>
          <w:color w:val="000000"/>
          <w:sz w:val="24"/>
          <w:szCs w:val="24"/>
        </w:rPr>
        <w:t xml:space="preserve">5.1 Institutional Implications and Public Sector Value</w:t>
      </w:r>
    </w:p>
    <w:p>
      <w:pPr>
        <w:spacing w:after="160" w:before="0" w:line="276"/>
        <w:ind w:firstLine="720"/>
        <w:jc w:val="both"/>
      </w:pPr>
      <w:r>
        <w:rPr>
          <w:rFonts w:ascii="Times New Roman" w:cs="Times New Roman" w:eastAsia="Times New Roman" w:hAnsi="Times New Roman"/>
          <w:color w:val="000000"/>
          <w:sz w:val="24"/>
          <w:szCs w:val="24"/>
        </w:rPr>
        <w:t xml:space="preserve">The PRESTIJ prototype demonstrates that agentic AI deployment is operationally viable within a Malaysian secondary education context, with relatively modest infrastructure requirements. The system's modular architecture — whereby each agent operates as an independent, replaceable microservice — enables incremental deployment. An institution could deploy Agent 1 (Student Profiling) immediately, using the output.json profiles to enhance existing manual advisory sessions, before committing to the full three-agent pipeline.</w:t>
      </w:r>
    </w:p>
    <w:p>
      <w:pPr>
        <w:spacing w:after="160" w:before="0" w:line="276"/>
        <w:ind w:firstLine="720"/>
        <w:jc w:val="both"/>
      </w:pPr>
      <w:r>
        <w:rPr>
          <w:rFonts w:ascii="Times New Roman" w:cs="Times New Roman" w:eastAsia="Times New Roman" w:hAnsi="Times New Roman"/>
          <w:color w:val="000000"/>
          <w:sz w:val="24"/>
          <w:szCs w:val="24"/>
        </w:rPr>
        <w:t xml:space="preserve">At a systemic level, PRESTIJ's alignment with the DELIMa ecosystem positions it as a candidate for integration into the platform's existing single sign-on (SSO) infrastructure. Such integration would allow the system to access verified student data directly from DELIMa's institutional data layer, eliminating the need for manual Excel dataset maintenance and significantly strengthening data freshness and reliability.</w:t>
      </w:r>
    </w:p>
    <w:p>
      <w:pPr>
        <w:pStyle w:val="Heading2"/>
        <w:spacing w:after="120" w:before="240"/>
      </w:pPr>
      <w:r>
        <w:rPr>
          <w:rFonts w:ascii="Times New Roman" w:cs="Times New Roman" w:eastAsia="Times New Roman" w:hAnsi="Times New Roman"/>
          <w:b/>
          <w:bCs/>
          <w:color w:val="000000"/>
          <w:sz w:val="24"/>
          <w:szCs w:val="24"/>
        </w:rPr>
        <w:t xml:space="preserve">5.2 Technical Constraints and Scaling Considerations</w:t>
      </w:r>
    </w:p>
    <w:p>
      <w:pPr>
        <w:spacing w:after="160" w:before="0" w:line="276"/>
        <w:ind w:firstLine="720"/>
        <w:jc w:val="both"/>
      </w:pPr>
      <w:r>
        <w:rPr>
          <w:rFonts w:ascii="Times New Roman" w:cs="Times New Roman" w:eastAsia="Times New Roman" w:hAnsi="Times New Roman"/>
          <w:color w:val="000000"/>
          <w:sz w:val="24"/>
          <w:szCs w:val="24"/>
        </w:rPr>
        <w:t xml:space="preserve">Three technical constraints are acknowledged as priority areas for future development. First, API compute latency: the current architecture makes synchronous calls to the Anthropic Claude API for both Agent 2 and Agent 3, which introduces a cumulative processing delay of 30–60 seconds for full 50-student cohort processing. Future iterations will explore asynchronous batch processing and the use of claude-haiku-4-5 as a cost-efficient fallback model for bulk operations. Second, LLM hallucination risk: while the structured JSON output format enforced in Agent 2 and Agent 3 system prompts significantly reduces hallucination incidence, validation layers confirming that recommendation outputs reference only scholarships present in the Biasiswa dataset will be implemented in subsequent versions. Third, offline operability: the current system requires active internet connectivity for the Claude API calls in Agents 2 and 3. A planned migration to a locally deployable open-source LLM would address connectivity constraints in rural SBP environments.</w:t>
      </w:r>
    </w:p>
    <w:p>
      <w:pPr>
        <w:pStyle w:val="Heading1"/>
        <w:spacing w:after="160" w:before="360"/>
      </w:pPr>
      <w:r>
        <w:rPr>
          <w:rFonts w:ascii="Times New Roman" w:cs="Times New Roman" w:eastAsia="Times New Roman" w:hAnsi="Times New Roman"/>
          <w:b/>
          <w:bCs/>
          <w:color w:val="000000"/>
          <w:sz w:val="26"/>
          <w:szCs w:val="26"/>
        </w:rPr>
        <w:t xml:space="preserve">6. Conclusion</w:t>
      </w:r>
    </w:p>
    <w:p>
      <w:pPr>
        <w:spacing w:after="160" w:before="0" w:line="276"/>
        <w:ind w:firstLine="720"/>
        <w:jc w:val="both"/>
      </w:pPr>
      <w:r>
        <w:rPr>
          <w:rFonts w:ascii="Times New Roman" w:cs="Times New Roman" w:eastAsia="Times New Roman" w:hAnsi="Times New Roman"/>
          <w:color w:val="000000"/>
          <w:sz w:val="24"/>
          <w:szCs w:val="24"/>
        </w:rPr>
        <w:t xml:space="preserve">This paper has introduced PRESTIJ, an Agentic AI-Powered Scholarship Matching System designed to address the scholarship information asymmetry experienced by secondary school students in Malaysian boarding school environments. By implementing a three-agent autonomous pipeline — governed by a bespoke React orchestrator component and powered by the Anthropic Claude API — PRESTIJ demonstrates that multi-dimensional, explainable, and privacy-compliant scholarship matching is achievable within the operational constraints of a secondary school context.</w:t>
      </w:r>
    </w:p>
    <w:p>
      <w:pPr>
        <w:spacing w:after="160" w:before="0" w:line="276"/>
        <w:ind w:firstLine="720"/>
        <w:jc w:val="both"/>
      </w:pPr>
      <w:r>
        <w:rPr>
          <w:rFonts w:ascii="Times New Roman" w:cs="Times New Roman" w:eastAsia="Times New Roman" w:hAnsi="Times New Roman"/>
          <w:color w:val="000000"/>
          <w:sz w:val="24"/>
          <w:szCs w:val="24"/>
        </w:rPr>
        <w:t xml:space="preserve">The preliminary evaluation results establish PRESTIJ's superiority over threshold-based manual matching across precision, recall, coverage, and explainability dimensions. More broadly, this study contributes a replicable blueprint for agentic AI deployment within DELIMa-aligned national education infrastructures — one that prioritises data privacy, modular scalability, and bilingual output generation. Future work will extend PRESTIJ's evaluation to a live user acceptance study with SBP5IK students and counsellors, and will explore integration pathways into the DELIMa production environment.</w:t>
      </w:r>
    </w:p>
    <w:p>
      <w:pPr>
        <w:pStyle w:val="Heading1"/>
        <w:spacing w:after="160" w:before="36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and claude-haiku-4-5. Anthropic Technical Documentation. Retrieved from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Putrajaya: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Putrajaya: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t xml:space="preserve">	</w:t>
    </w: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2026-06-30T07:16:40.923Z</dcterms:created>
  <dcterms:modified xsi:type="dcterms:W3CDTF">2026-06-30T07:16:40.923Z</dcterms:modified>
</cp:coreProperties>
</file>

<file path=docProps/custom.xml><?xml version="1.0" encoding="utf-8"?>
<Properties xmlns="http://schemas.openxmlformats.org/officeDocument/2006/custom-properties" xmlns:vt="http://schemas.openxmlformats.org/officeDocument/2006/docPropsVTypes"/>
</file>