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A Proposed Agentic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Syahril</w:t>
      </w:r>
    </w:p>
    <w:p>
      <w:pPr>
        <w:spacing w:after="60" w:before="0"/>
        <w:jc w:val="center"/>
      </w:pPr>
      <w:r>
        <w:rPr>
          <w:rFonts w:ascii="Times New Roman" w:cs="Times New Roman" w:eastAsia="Times New Roman" w:hAnsi="Times New Roman"/>
          <w:i/>
          <w:iCs/>
          <w:color w:val="374151"/>
          <w:sz w:val="22"/>
          <w:szCs w:val="22"/>
        </w:rPr>
        <w:t xml:space="preserve">SBP Integrasi Kuantan, Kelas Ibnu Khaldun</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Background: Secondary school students in Malaysian public boarding institutions face persistent challenges in scholarship discovery due to fragmented data systems and manual, single-criterion matching processes that fail to account for the multidimensional nature of student profiles. Problem: No existing tool integrates academic achievement, co-curricular performance, psychometric personality type, career aspiration, and socioeconomic background into a unified, automated scholarship recommendation pipeline within the secondary school context. Proposed Solution: This paper proposes PRESTIJ, an Agentic AI-Powered Scholarship Matching System designed for SBP Integrasi Kuantan, Kelas Ibnu Khaldun, serving a cohort of 50 Form Five students. Methodology: Following a Design Science Research (DSR) framework, PRESTIJ proposes a three-agent autonomous pipeline orchestrated by a built-in React component (AgentPipeline.tsx), powered by the Groq API (llama-3.3-70b-versatile). The system integrates four student data sources, namely SPM academic records, PAJSK co-curricular scores, RIASEC psychometric profiles, and family income data, matched against a database of 10 scholarships. Expected Outcomes: The proposed architecture is designed to generate personalised, explainable, bilingual (Bahasa Malaysia and English) scholarship recommendations aligned with each student's holistic profile. Conclusion: PRESTIJ presents a scalable, privacy-compliant design blueprint for agentic AI deployment in national secondary education, with direct alignment to Malaysia's DELIMa digital transformation framework.</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Modern public education governance in Malaysia demands high efficiency, transparency, and rapid synthesis of multidimensional student data. The Ministry of Education (MoE) has committed to this transformation through the Digital Educational Learning Initiative Malaysia (DELIMa), a centralised digital platform intended to unify academic management, student monitoring, and resource delivery across national schools. However, despite substantial investment in digital infrastructure, the scholarship discovery and matching process within Sekolah Berasrama Penuh (SBP) institutions remains largely manual, fragmented, and dependent on individual counsellor capacity.</w:t>
      </w:r>
    </w:p>
    <w:p>
      <w:pPr>
        <w:spacing w:after="160" w:before="0" w:line="280"/>
        <w:ind w:firstLine="720"/>
        <w:jc w:val="both"/>
      </w:pPr>
      <w:r>
        <w:rPr>
          <w:rFonts w:ascii="Times New Roman" w:cs="Times New Roman" w:eastAsia="Times New Roman" w:hAnsi="Times New Roman"/>
          <w:color w:val="000000"/>
          <w:sz w:val="24"/>
          <w:szCs w:val="24"/>
        </w:rPr>
        <w:t xml:space="preserve">At SBP Integrasi Kuantan, Kelas Ibnu Khaldun, a Form Five cohort of 50 students, scholarship advisory relies on teacher-driven sessions and manual cross-referencing of student records against scholarship listings. This approach is constrained by cognitive load on educators, inconsistency in evaluation criteria, and a structural inability to simultaneously account for the full dimensionality of a student's profile: academic achievement, co-curricular involvement, personality type, career aspiration, and family income category. The result is a persistent gap between available scholarship opportunities and qualified students who remain unaware of them.</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fundamental challenge addressed by this study is the information asymmetry between scholarship opportunities and student eligibility within the SBP context. Three systemic failures characterise this gap:</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Data Fragmentation: Student profile information, comprising SPM academic grades, PAJSK co-curricular scores, RIASEC psychometric assessments, and family income records, is distributed across four separate Excel-based datasets with no automated integration or unified profiling mechanism.</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Single-Criterion Matching: Existing advisory approaches rely on threshold-based filtering (primarily minimum SPM A-count), which fails to capture the nuanced alignment between a student's psychometric profile, career aspirations, leadership record, and scholarship field requirements.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Scalability Deficit: A single counsellor cannot provide the depth of personalised, evidence-based scholarship analysis required for 50 students simultaneously, particularly under examination-period time pressures.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These failures result in qualified students overlooking scholarship opportunities well-suited to their holistic profiles, and in recommendation outputs that lack transparency, personalisation, and explainability. These are critical requirements for both student confidence and institutional accountability.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PRESTIJ's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The specific objectives of this study are threefold: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document a multi-agent agentic AI architecture for scholarship matching, incorporating a built-in orchestration mechanism that enables autonomous, sequential pipeline execution without external framework dependency.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propose a five-factor weighted matching model that integrates academic, co-curricular, psychometric, aspirational, and socioeconomic dimensions into a single, transparent scholarship recommendation score.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present a privacy-compliant, DELIMa-aligned system blueprint suitable for prototype deployment within Malaysian secondary boarding school environments.</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remainder of this paper is structured as follows: Section 2 reviews the relevant literature on AI-driven recommendation systems and multi-agent orchestration. Section 3 details the proposed system architecture and DSR methodology. Section 4 outlines the planned evaluation framework. Section 5 discusses policy implications and anticipated limitations. Section 6 concludes with directions for future development and deployment.</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Traditional scholarship matching within educational institutions has historically relied on two approaches: manual counsellor-driven advisory sessions, or static, rule-based database filtering. Nguyen et al. (2022) demonstrated that manual advisory processes in secondary education settings are subject to significant consistency failures, with inter-counsellor agreement rates in scholarship recommendation falling below 60% when student profiles involve interdisciplinary interests or non-standard co-curricular achievements.</w:t>
      </w:r>
    </w:p>
    <w:p>
      <w:pPr>
        <w:spacing w:after="160" w:before="0" w:line="280"/>
        <w:ind w:firstLine="720"/>
        <w:jc w:val="both"/>
      </w:pPr>
      <w:r>
        <w:rPr>
          <w:rFonts w:ascii="Times New Roman" w:cs="Times New Roman" w:eastAsia="Times New Roman" w:hAnsi="Times New Roman"/>
          <w:color w:val="000000"/>
          <w:sz w:val="24"/>
          <w:szCs w:val="24"/>
        </w:rPr>
        <w:t xml:space="preserve">Rule-based filtering systems, which dominate existing national scholarship portals, operate on hard threshold logic: students are either eligible or ineligible based on fixed cut-off values such as minimum GPA or subject count. This binary architecture produces two well-documented failure modes: high false-negative rates for students who fall marginally below a single criterion despite strong holistic profiles, and a complete inability to evaluate qualitative alignment dimensions such as career aspirations, personality type, and leadership orientation. These dimensions are increasingly recognised by scholarship providers as predictive of award-holder performance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The integration of machine learning and natural language processing into educational recommendation systems has accelerated significantly. Content-Based Filtering (CBF) and Collaborative Filtering (CF) approaches have been applied to course recommendation and career pathway matching. However, as Tan et al. (2024) note, CF approaches are structurally unsuitable for scholarship matching due to the cold start problem, where new student cohorts lack the historical interaction data that collaborative models require. Semantic matching via transformer-based Large Language Models (LLMs) addresses this limitation by evaluating conceptual alignment between student profiles and scholarship criteria, enabling relevant recommendations even for students with no historical scholarship application data.</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Agentic AI represents an architectural advancement beyond single-turn LLM inference. An "agent" in this context combines an LLM core with persistent memory, planning capabilities, and tool-execution interfaces, enabling it to pursue multi-step objectives autonomously (Li et al., 2024). Multi-agent orchestration frameworks such as LangGraph, CrewAI, and AutoGen have demonstrated the viability of agentic pipelines in complex institutional tasks. Ahmad &amp; Yusof (2024) applied a multi-agent framework to Malaysian university course advising and reported significant reductions in student decision latency alongside measurable improvements in recommendation relevance.</w:t>
      </w:r>
    </w:p>
    <w:p>
      <w:pPr>
        <w:spacing w:after="160" w:before="0" w:line="280"/>
        <w:ind w:firstLine="720"/>
        <w:jc w:val="both"/>
      </w:pPr>
      <w:r>
        <w:rPr>
          <w:rFonts w:ascii="Times New Roman" w:cs="Times New Roman" w:eastAsia="Times New Roman" w:hAnsi="Times New Roman"/>
          <w:color w:val="000000"/>
          <w:sz w:val="24"/>
          <w:szCs w:val="24"/>
        </w:rPr>
        <w:t xml:space="preserve">PRESTIJ extends this line of inquiry into secondary education scholarship matching, implementing a bespoke three-agent pipeline governed by a native React orchestrator component, eliminating dependency on external orchestration frameworks and enabling direct integration with the student-facing web portal. This design choice aligns with the principle of minimal infrastructure overhead, critical for deployment viability in SBP institutional environments.</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adopts the Design Science Research (DSR) methodology as articulated by Hevner et al. (2004), which positions the creation of a functional digital artifact as a rigorous form of academic inquiry. DSR is appropriate here because PRESTIJ's primary contribution is a working system designed to solve a verified operational problem within a specific institutional context, rather than a theoretical proposition testable through hypothesis-driven experimentation.</w:t>
      </w:r>
    </w:p>
    <w:p>
      <w:pPr>
        <w:spacing w:after="160" w:before="0" w:line="280"/>
        <w:ind w:firstLine="720"/>
        <w:jc w:val="both"/>
      </w:pPr>
      <w:r>
        <w:rPr>
          <w:rFonts w:ascii="Times New Roman" w:cs="Times New Roman" w:eastAsia="Times New Roman" w:hAnsi="Times New Roman"/>
          <w:color w:val="000000"/>
          <w:sz w:val="24"/>
          <w:szCs w:val="24"/>
        </w:rPr>
        <w:t xml:space="preserve">The DSR lifecycle applied proceeds through three phases: (1) Problem Identification, which involves establishing the scholarship matching gap at SBP Integrasi Kuantan through direct observation; (2) Design and Development, which involves constructing the PRESTIJ prototype architecture as documented in this paper; and (3) Demonstration and Evaluation, which covers planned testing of the system using a synthetic cohort dataset, with results to be reported in a subsequent publication.</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PRESTIJ's architecture is organised into four functional layers: the Data Layer (Excel source files), the Agent Layer (three specialised agents), the Orchestration Layer (AgentPipeline.tsx), and the Presentation Layer (DELIMa-styled React portal). The complete system topology is summarised in Table 1.</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PRESTIJ "Agentic"</w:t>
      </w:r>
    </w:p>
    <w:p>
      <w:pPr>
        <w:spacing w:after="160" w:before="0" w:line="280"/>
        <w:ind w:firstLine="720"/>
        <w:jc w:val="both"/>
      </w:pPr>
      <w:r>
        <w:rPr>
          <w:rFonts w:ascii="Times New Roman" w:cs="Times New Roman" w:eastAsia="Times New Roman" w:hAnsi="Times New Roman"/>
          <w:color w:val="000000"/>
          <w:sz w:val="24"/>
          <w:szCs w:val="24"/>
        </w:rPr>
        <w:t xml:space="preserve">A critical architectural distinction of PRESTIJ is its built-in orchestrator, the AgentPipeline.tsx React component. Unlike conventional AI chatbots that respond to a single user query, PRESTIJ's orchestrator autonomously controls the entire three-agent pipeline: it initiates Agent 1, waits for output.json to be produced, then initiates Agent 2, waits for matches.json, then initiates Agent 3, all triggered by a single student action. This autonomous, sequential, multi-agent coordination defines PRESTIJ as an Agentic AI system rather than a conventional chatbot or static recommendation engine.</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The core matching logic of Agent 2 applies a deterministic five-factor weighted scoring model. Each student-scholarship pair receives a total match score M computed as: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flagged eligible = true only when the student simultaneously meets the scholarship's minimum SPM A-count AND minimum PAJSK score, ensuring that match scores do not mislead students into applying for scholarships for which they are categorically ineligible.</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PRESTIJ operates on synthetic datasets structurally modelled on the SBP5IK cohort. All datasets are fabricated for prototype testing and contain no real student personal data. Five source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scholarships with criteria: min SPM A-count, min PAJSK, preferred RIASEC, preferred fields,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 items</w:t>
            </w:r>
          </w:p>
        </w:tc>
      </w:tr>
    </w:tbl>
    <w:p>
      <w:pPr>
        <w:spacing w:after="200" w:before="80"/>
        <w:jc w:val="center"/>
      </w:pPr>
      <w:r>
        <w:rPr>
          <w:rFonts w:ascii="Times New Roman" w:cs="Times New Roman" w:eastAsia="Times New Roman" w:hAnsi="Times New Roman"/>
          <w:i/>
          <w:iCs/>
          <w:color w:val="374151"/>
          <w:sz w:val="22"/>
          <w:szCs w:val="22"/>
        </w:rPr>
        <w:t xml:space="preserve">Table 3: PRESTIJ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present in the SPM dataset are processed server-side exclusively within the Node.js Agent 1 server. Credentials are validated in server memory only and are never written to output.json, never transmitted to client-side components, and never logged, ensuring compliance with Malaysia's Personal Data Protection Act 2010 (PDPA) and MoE institutional data governance guidelines.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As PRESTIJ is currently at the prototype design and early implementation stage, empirical performance data is not yet available. This section outlines the evaluation framework that will be applied once the full three-agent pipeline is operational. Consistent with the DSR evaluation principle of "demonstration through utility" (Hevner et al., 2004), the evaluation will assess PRESTIJ against two complementary dimensions: algorithmic matching performance and user acceptance.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Matching performance will be benchmarked against a simulated baseline representing the current manual advisory approach at SBP Integrasi Kuantan, modelled as a single-criterion threshold filter (minimum SPM A-count only, with no weighting across other dimensions). Three standard retrieval metrics will be computed:</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The proportion of recommended scholarships that are genuinely appropriate for the student's profile.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The proportion of all suitable scholarships that the system successfully surfaces, which is the key metric for detecting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The harmonic mean of Precision and Recall, providing a balanced single-figure performance indicator.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evaluation will use the 50-student synthetic cohort as the test population, with ground truth appropriateness labels established through expert panel review by certified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A structured User Acceptance Test (UAT) will be conducted with Form Five students from Kelas Ibnu Khaldun upon system deployment. The evaluation instrument will employ the System Usability Scale (SUS), a validated 10-item questionnaire producing a composite usability score. A secondary qualitative dimension will assess the perceived clarity and usefulness of the bilingual recommendation reports generated by Agent 3. Both evaluation phases are planned for the subsequent phase of this research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deployed as proposed, PRESTIJ is anticipated to address three institutional gaps simultaneously. First, it reduces counsellor cognitive load by automating the data integration and matching computation phases of scholarship advisory, shifting the counsellor's role from data processor to decision validator. Second, it promotes scholarship equity by incorporating family income category (B40/M40/T20) as a first-class matching criterion, ensuring that economically disadvantaged students are not systematically overlooked due to lower raw academic scores. Third, it introduces explainability into scholarship recommendations; each match score is accompanied by a per-factor justification in Bahasa Malaysia, enabling students to understand why a particular scholarship is recommended and what they need to improve.</w:t>
      </w:r>
    </w:p>
    <w:p>
      <w:pPr>
        <w:spacing w:after="160" w:before="0" w:line="280"/>
        <w:ind w:firstLine="720"/>
        <w:jc w:val="both"/>
      </w:pPr>
      <w:r>
        <w:rPr>
          <w:rFonts w:ascii="Times New Roman" w:cs="Times New Roman" w:eastAsia="Times New Roman" w:hAnsi="Times New Roman"/>
          <w:color w:val="000000"/>
          <w:sz w:val="24"/>
          <w:szCs w:val="24"/>
        </w:rPr>
        <w:t xml:space="preserve">At a systemic level, PRESTIJ's architectural alignment with the DELIMa ecosystem positions it as a candidate for broader national deployment. The system's modular agent design allows incremental rollout: an institution could deploy Agent 1 (Student Profiling) as a standalone tool immediately, using the output.json profiles to enhance existing manual advisory sessions, before committing to full three-agent pipeline deployment.</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Three technical constraints are identified as priority areas for mitigation during the implementation phase. First, API latency: synchronous calls to the Anthropic Claude API for Agents 2 and 3 are expected to introduce processing delays of 30–60 seconds for full 50-student cohort runs. Mitigation strategies include asynchronous batch processing and selective use of the claude-haiku-4-5 fallback model for high-volume operations. Second, LLM output reliability: while structured JSON output formats enforced through system prompts significantly reduce hallucination incidence, validation layers will be implemented to confirm that all Agent 3 recommendations reference only scholarships present in the Biasiswa dataset. Third, connectivity dependency: the current architecture requires active internet access for the Claude API calls in Agents 2 and 3, which may present constraints in rural SBP environments with inconsistent broadband connectivity.</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introduced PRESTIJ, a proposed Agentic AI-Powered Scholarship Matching System designed to address the scholarship information asymmetry experienced by secondary school students in Malaysian boarding school environments. By proposing a three-agent autonomous pipeline governed by a bespoke React orchestrator component and powered by the Anthropic Claude API, PRESTIJ advances beyond conventional single-criterion filtering towards a holistic, explainable, and privacy-compliant scholarship recommendation architecture.</w:t>
      </w:r>
    </w:p>
    <w:p>
      <w:pPr>
        <w:spacing w:after="160" w:before="0" w:line="280"/>
        <w:ind w:firstLine="720"/>
        <w:jc w:val="both"/>
      </w:pPr>
      <w:r>
        <w:rPr>
          <w:rFonts w:ascii="Times New Roman" w:cs="Times New Roman" w:eastAsia="Times New Roman" w:hAnsi="Times New Roman"/>
          <w:color w:val="000000"/>
          <w:sz w:val="24"/>
          <w:szCs w:val="24"/>
        </w:rPr>
        <w:t xml:space="preserve">The proposed five-factor weighted matching model, which integrates academic achievement, co-curricular performance, psychometric personality alignment, career aspiration, and socioeconomic background, represents a more complete operationalisation of student eligibility than any existing tool deployed in the Malaysian secondary school context. Empirical evaluation of the prototype, including precision-recall benchmarking and user acceptance testing, is planned as the next phase of this research. This study contributes a replicable design blueprint for agentic AI deployment within DELIMa-aligned national educational infrastructures, paving the way for proactive, equitable, and personalised scholarship guidance at scale.</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