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1600"/>
      </w:pPr>
      <w:r>
        <w:t xml:space="preserve"/>
      </w:r>
    </w:p>
    <w:p>
      <w:pPr>
        <w:pBdr>
          <w:bottom w:val="single" w:color="0F2057" w:sz="8" w:space="1"/>
        </w:pBdr>
        <w:spacing w:after="200" w:before="0"/>
        <w:jc w:val="center"/>
      </w:pPr>
      <w:r>
        <w:rPr>
          <w:rFonts w:ascii="Arial" w:cs="Arial" w:eastAsia="Arial" w:hAnsi="Arial"/>
          <w:b/>
          <w:bCs/>
          <w:caps/>
          <w:color w:val="0F2057"/>
          <w:sz w:val="22"/>
          <w:szCs w:val="22"/>
        </w:rPr>
        <w:t xml:space="preserve">KEMENTERIAN PENDIDIKAN MALAYSIA</w:t>
      </w:r>
    </w:p>
    <w:p>
      <w:pPr>
        <w:spacing w:after="80" w:before="0"/>
        <w:jc w:val="center"/>
      </w:pPr>
      <w:r>
        <w:rPr>
          <w:rFonts w:ascii="Arial" w:cs="Arial" w:eastAsia="Arial" w:hAnsi="Arial"/>
          <w:color w:val="1A56DB"/>
          <w:sz w:val="20"/>
          <w:szCs w:val="20"/>
        </w:rPr>
        <w:t xml:space="preserve">DELIMa Platform  ·  PRESTIJ Programme</w:t>
      </w:r>
    </w:p>
    <w:p>
      <w:pPr>
        <w:spacing w:line="600"/>
      </w:pPr>
      <w:r>
        <w:t xml:space="preserve"/>
      </w:r>
    </w:p>
    <w:p>
      <w:pPr>
        <w:shd w:fill="0F2057" w:val="clear"/>
        <w:spacing w:after="0" w:before="160"/>
        <w:jc w:val="center"/>
      </w:pPr>
      <w:r>
        <w:rPr>
          <w:rFonts w:ascii="Arial" w:cs="Arial" w:eastAsia="Arial" w:hAnsi="Arial"/>
          <w:b/>
          <w:bCs/>
          <w:caps/>
          <w:color w:val="FFFFFF"/>
          <w:sz w:val="52"/>
          <w:szCs w:val="52"/>
        </w:rPr>
        <w:t xml:space="preserve">SCHOLARSHIP DATABASE</w:t>
      </w:r>
    </w:p>
    <w:p>
      <w:pPr>
        <w:shd w:fill="1A56DB" w:val="clear"/>
        <w:spacing w:after="0" w:before="0"/>
        <w:jc w:val="center"/>
      </w:pPr>
      <w:r>
        <w:rPr>
          <w:rFonts w:ascii="Arial" w:cs="Arial" w:eastAsia="Arial" w:hAnsi="Arial"/>
          <w:b/>
          <w:bCs/>
          <w:color w:val="FFFFFF"/>
          <w:sz w:val="30"/>
          <w:szCs w:val="30"/>
        </w:rPr>
        <w:t xml:space="preserve">Technical Documentation</w:t>
      </w:r>
    </w:p>
    <w:p>
      <w:pPr>
        <w:shd w:fill="0E7490" w:val="clear"/>
        <w:spacing w:after="200" w:before="0"/>
        <w:jc w:val="center"/>
      </w:pPr>
      <w:r>
        <w:rPr>
          <w:rFonts w:ascii="Arial" w:cs="Arial" w:eastAsia="Arial" w:hAnsi="Arial"/>
          <w:color w:val="FFFFFF"/>
          <w:sz w:val="22"/>
          <w:szCs w:val="22"/>
        </w:rPr>
        <w:t xml:space="preserve">Agentic AI-Powered Scholarship Matching System</w:t>
      </w:r>
    </w:p>
    <w:p>
      <w:pPr>
        <w:pBdr>
          <w:bottom w:val="single" w:color="0F2057" w:sz="6" w:space="1"/>
        </w:pBdr>
        <w:spacing w:after="40" w:before="40"/>
      </w:pPr>
      <w:r>
        <w:t xml:space="preserve"/>
      </w:r>
    </w:p>
    <w:p>
      <w:pPr>
        <w:spacing w:lin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Programme</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PRESTIJ — AI-Powered Scholarship Advisory</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Platform</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DELIMa KPM (SBP Integrasi Kuantan)</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Scholarships Documented</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10 scholarships (BIA001 – BIA010)</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Categories Covered</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Government · Corporate (GLC) · Corporate (MNC) · State Foundation</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Integration</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Agent 2 (Matching Engine) — 5-dimension weighted scoring</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Report Version</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v1.0  (June 2026)</w:t>
            </w:r>
          </w:p>
        </w:tc>
      </w:tr>
    </w:tbl>
    <w:p>
      <w:r>
        <w:br w:type="page"/>
      </w:r>
    </w:p>
    <w:p>
      <w:pPr>
        <w:pStyle w:val="Heading1"/>
        <w:spacing w:after="160" w:before="320"/>
      </w:pPr>
      <w:bookmarkStart w:name="overview" w:id="1"/>
      <w:r>
        <w:rPr>
          <w:rFonts w:ascii="Arial" w:cs="Arial" w:eastAsia="Arial" w:hAnsi="Arial"/>
          <w:b/>
          <w:bCs/>
          <w:color w:val="0F2057"/>
          <w:sz w:val="32"/>
          <w:szCs w:val="32"/>
        </w:rPr>
        <w:t xml:space="preserve">1.  Scholarship Database Overview</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The PRESTIJ system contains a curated database of 10 scholarships relevant to SPM leavers from SBP Integrasi Kuantan. These scholarships span four categories: government programmes, GLC (Government-Linked Company) scholarships, multinational company scholarships, and state foundation grants. Each scholarship is stored as a structured data object consumed by Agent 2 (Scholarship Matching Agent).</w:t>
      </w:r>
    </w:p>
    <w:p>
      <w:pPr>
        <w:spacing w:line="160"/>
      </w:pPr>
      <w:r>
        <w:t xml:space="preserve"/>
      </w:r>
    </w:p>
    <w:p>
      <w:pPr>
        <w:pStyle w:val="Heading2"/>
        <w:spacing w:after="120" w:before="220"/>
      </w:pPr>
      <w:r>
        <w:rPr>
          <w:rFonts w:ascii="Arial" w:cs="Arial" w:eastAsia="Arial" w:hAnsi="Arial"/>
          <w:b/>
          <w:bCs/>
          <w:color w:val="1A56DB"/>
          <w:sz w:val="26"/>
          <w:szCs w:val="26"/>
        </w:rPr>
        <w:t xml:space="preserve">1.1  Scholarship 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946"/>
      </w:tblGrid>
      <w:tr>
        <w:tc>
          <w:tcPr>
            <w:tcW w:type="dxa" w:w="2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Category</w:t>
            </w:r>
          </w:p>
        </w:tc>
        <w:tc>
          <w:tcPr>
            <w:tcW w:type="dxa" w:w="1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Count</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IDs</w:t>
            </w:r>
          </w:p>
        </w:tc>
        <w:tc>
          <w:tcPr>
            <w:tcW w:type="dxa" w:w="49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Examples</w:t>
            </w:r>
          </w:p>
        </w:tc>
      </w:tr>
      <w:tr>
        <w:tc>
          <w:tcPr>
            <w:tcW w:type="dxa" w:w="2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1A56DB"/>
                <w:sz w:val="20"/>
                <w:szCs w:val="20"/>
              </w:rPr>
              <w:t xml:space="preserve">Government</w:t>
            </w:r>
          </w:p>
        </w:tc>
        <w:tc>
          <w:tcPr>
            <w:tcW w:type="dxa" w:w="1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3</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BIA001–BIA003</w:t>
            </w:r>
          </w:p>
        </w:tc>
        <w:tc>
          <w:tcPr>
            <w:tcW w:type="dxa" w:w="49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JPA PPN, JPA LSPM, JPA-MARA PKJM</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Corporate (GLC)</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5</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BIA004, BIA005, BIA007–BIA010</w:t>
            </w:r>
          </w:p>
        </w:tc>
        <w:tc>
          <w:tcPr>
            <w:tcW w:type="dxa" w:w="4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MARA YTP, PETRONAS PESP, Khazanah, TNB, UEM</w:t>
            </w:r>
          </w:p>
        </w:tc>
      </w:tr>
      <w:tr>
        <w:tc>
          <w:tcPr>
            <w:tcW w:type="dxa" w:w="22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Corporate (MNC)</w:t>
            </w:r>
          </w:p>
        </w:tc>
        <w:tc>
          <w:tcPr>
            <w:tcW w:type="dxa" w:w="12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1</w:t>
            </w:r>
          </w:p>
        </w:tc>
        <w:tc>
          <w:tcPr>
            <w:tcW w:type="dxa" w:w="14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BIA006</w:t>
            </w:r>
          </w:p>
        </w:tc>
        <w:tc>
          <w:tcPr>
            <w:tcW w:type="dxa" w:w="4946"/>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Shell Malaysia Scholarship</w:t>
            </w:r>
          </w:p>
        </w:tc>
      </w:tr>
      <w:tr>
        <w:tc>
          <w:tcPr>
            <w:tcW w:type="dxa" w:w="22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State Foundation</w:t>
            </w:r>
          </w:p>
        </w:tc>
        <w:tc>
          <w:tcPr>
            <w:tcW w:type="dxa" w:w="12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w:t>
            </w:r>
          </w:p>
        </w:tc>
        <w:tc>
          <w:tcPr>
            <w:tcW w:type="dxa" w:w="14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BIA009</w:t>
            </w:r>
          </w:p>
        </w:tc>
        <w:tc>
          <w:tcPr>
            <w:tcW w:type="dxa" w:w="4946"/>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Biasiswa Yayasan Pahang</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Total</w:t>
            </w:r>
          </w:p>
        </w:tc>
        <w:tc>
          <w:tcPr>
            <w:tcW w:type="dxa" w:w="1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10</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BIA001–BIA010</w:t>
            </w:r>
          </w:p>
        </w:tc>
        <w:tc>
          <w:tcPr>
            <w:tcW w:type="dxa" w:w="4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1.2  Scholarship Object Schema</w:t>
      </w:r>
    </w:p>
    <w:p>
      <w:pPr>
        <w:spacing w:after="60" w:before="60"/>
        <w:jc w:val="left"/>
      </w:pPr>
      <w:r>
        <w:rPr>
          <w:rFonts w:ascii="Arial" w:cs="Arial" w:eastAsia="Arial" w:hAnsi="Arial"/>
          <w:b w:val="false"/>
          <w:bCs w:val="false"/>
          <w:color w:val="334155"/>
          <w:sz w:val="21"/>
          <w:szCs w:val="21"/>
        </w:rPr>
        <w:t xml:space="preserve">Each scholarship in the database is a TypeScript object with the following fields used by Agent 2:</w:t>
      </w:r>
    </w:p>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46"/>
      </w:tblGrid>
      <w:tr>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w:t>
            </w:r>
          </w:p>
        </w:tc>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Type</w:t>
            </w:r>
          </w:p>
        </w:tc>
        <w:tc>
          <w:tcPr>
            <w:tcW w:type="dxa" w:w="5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Description</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id</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Unique scholarship code — BIA001 to BIA010</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name</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Full official scholarship name</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provider</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Awarding organisation</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description</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Plain-language description shown to students</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minSpmRequirement</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number</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Minimum number of A-grade subjects required</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pajskRequirement</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number</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Minimum PAJSK score (%) required — 0 means no requirement</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preferredRiasec</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Preferred RIASEC types — matched against student Holland Code</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preferredFields</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Preferred fields of interest — matched against student fieldOfInterest</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parentCategoryRequired</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"All"|"B40"|"B40/M40"</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Income group eligibility restriction</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bumiputeraOnly</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boolean</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If true, Bumiputera applicants only</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deadlineDays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number</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Days from current date until application deadline</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amount</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Scholarship value description</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tags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E7490"/>
                <w:sz w:val="19"/>
                <w:szCs w:val="19"/>
              </w:rPr>
              <w:t xml:space="preserve">string[]</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Keywords used for display and filtering in the UI</w:t>
            </w:r>
          </w:p>
        </w:tc>
      </w:tr>
    </w:tbl>
    <w:p>
      <w:r>
        <w:br w:type="page"/>
      </w:r>
    </w:p>
    <w:p>
      <w:pPr>
        <w:pStyle w:val="Heading1"/>
        <w:spacing w:after="160" w:before="320"/>
      </w:pPr>
      <w:bookmarkStart w:name="master" w:id="1"/>
      <w:r>
        <w:rPr>
          <w:rFonts w:ascii="Arial" w:cs="Arial" w:eastAsia="Arial" w:hAnsi="Arial"/>
          <w:b/>
          <w:bCs/>
          <w:color w:val="0F2057"/>
          <w:sz w:val="32"/>
          <w:szCs w:val="32"/>
        </w:rPr>
        <w:t xml:space="preserve">2.  Master Scholarship Comparison</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The table below provides a quick-reference comparison of all 10 scholarships across the key eligibility and matching criteria.</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900"/>
        <w:gridCol w:w="900"/>
        <w:gridCol w:w="900"/>
        <w:gridCol w:w="900"/>
        <w:gridCol w:w="3026"/>
      </w:tblGrid>
      <w:tr>
        <w:tc>
          <w:tcPr>
            <w:tcW w:type="dxa" w:w="52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ID</w:t>
            </w:r>
          </w:p>
        </w:tc>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 Name</w:t>
            </w:r>
          </w:p>
        </w:tc>
        <w:tc>
          <w:tcPr>
            <w:tcW w:type="dxa" w:w="9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Min A-Grades</w:t>
            </w:r>
          </w:p>
        </w:tc>
        <w:tc>
          <w:tcPr>
            <w:tcW w:type="dxa" w:w="9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Min PAJSK</w:t>
            </w:r>
          </w:p>
        </w:tc>
        <w:tc>
          <w:tcPr>
            <w:tcW w:type="dxa" w:w="9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Bumi Only</w:t>
            </w:r>
          </w:p>
        </w:tc>
        <w:tc>
          <w:tcPr>
            <w:tcW w:type="dxa" w:w="9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Income</w:t>
            </w:r>
          </w:p>
        </w:tc>
        <w:tc>
          <w:tcPr>
            <w:tcW w:type="dxa" w:w="302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Award Value</w:t>
            </w:r>
          </w:p>
        </w:tc>
      </w:tr>
      <w:tr>
        <w:tc>
          <w:tcPr>
            <w:tcW w:type="dxa" w:w="52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BIA001</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 – Program Penajaan Nasional (PPN)</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10+</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82%</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 (Luar Negara)</w:t>
            </w:r>
          </w:p>
        </w:tc>
      </w:tr>
      <w:tr>
        <w:tc>
          <w:tcPr>
            <w:tcW w:type="dxa" w:w="52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BIA002</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 – Program Khas LSPM (Dalam Negara)</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9+</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80%</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 (Dalam Negara)</w:t>
            </w:r>
          </w:p>
        </w:tc>
      </w:tr>
      <w:tr>
        <w:tc>
          <w:tcPr>
            <w:tcW w:type="dxa" w:w="52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BIA003</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 – Program Khas JPA MARA (PKJM)</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18"/>
                <w:szCs w:val="18"/>
              </w:rPr>
              <w:t xml:space="preserve">5+</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None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Yes</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Pinjaman Boleh Ubah</w:t>
            </w:r>
          </w:p>
        </w:tc>
      </w:tr>
      <w:tr>
        <w:tc>
          <w:tcPr>
            <w:tcW w:type="dxa" w:w="52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BIA004</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MARA – Young Talent Development Programme (YTP)</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8"/>
                <w:szCs w:val="18"/>
              </w:rPr>
              <w:t xml:space="preserve">8+</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8"/>
                <w:szCs w:val="18"/>
              </w:rPr>
              <w:t xml:space="preserve">68%</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Yes</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8"/>
                <w:szCs w:val="18"/>
              </w:rPr>
              <w:t xml:space="preserve">B40/M40</w:t>
            </w:r>
          </w:p>
        </w:tc>
        <w:tc>
          <w:tcPr>
            <w:tcW w:type="dxa" w:w="302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w:t>
            </w:r>
          </w:p>
        </w:tc>
      </w:tr>
      <w:tr>
        <w:tc>
          <w:tcPr>
            <w:tcW w:type="dxa" w:w="52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BIA005</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PETRONAS Powering Knowledge Education Sponsorship (PESP)</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9+</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82%</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w:t>
            </w:r>
          </w:p>
        </w:tc>
      </w:tr>
      <w:tr>
        <w:tc>
          <w:tcPr>
            <w:tcW w:type="dxa" w:w="52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BIA006</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Shell Malaysia Scholarship</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9+</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80%</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w:t>
            </w:r>
          </w:p>
        </w:tc>
      </w:tr>
      <w:tr>
        <w:tc>
          <w:tcPr>
            <w:tcW w:type="dxa" w:w="52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BIA007</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Khazanah Watan Scholarship Programme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8"/>
                <w:szCs w:val="18"/>
              </w:rPr>
              <w:t xml:space="preserve">7+</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8"/>
                <w:szCs w:val="18"/>
              </w:rPr>
              <w:t xml:space="preserve">68%</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Yes</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w:t>
            </w:r>
          </w:p>
        </w:tc>
      </w:tr>
      <w:tr>
        <w:tc>
          <w:tcPr>
            <w:tcW w:type="dxa" w:w="52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BIA008</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Yayasan Tenaga Nasional (YTN) – TNB Prime Scholarship</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18"/>
                <w:szCs w:val="18"/>
              </w:rPr>
              <w:t xml:space="preserve">6+</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8"/>
                <w:szCs w:val="18"/>
              </w:rPr>
              <w:t xml:space="preserve">68%</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w:t>
            </w:r>
          </w:p>
        </w:tc>
      </w:tr>
      <w:tr>
        <w:tc>
          <w:tcPr>
            <w:tcW w:type="dxa" w:w="52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BIA009</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Biasiswa Yayasan Pahang</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3+</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None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8"/>
                <w:szCs w:val="18"/>
              </w:rPr>
              <w:t xml:space="preserve">B40</w:t>
            </w:r>
          </w:p>
        </w:tc>
        <w:tc>
          <w:tcPr>
            <w:tcW w:type="dxa" w:w="302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Bantuan Kewangan (Separa)</w:t>
            </w:r>
          </w:p>
        </w:tc>
      </w:tr>
      <w:tr>
        <w:tc>
          <w:tcPr>
            <w:tcW w:type="dxa" w:w="52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BIA010</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Biasiswa Yayasan UEM</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18"/>
                <w:szCs w:val="18"/>
              </w:rPr>
              <w:t xml:space="preserve">6+</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8"/>
                <w:szCs w:val="18"/>
              </w:rPr>
              <w:t xml:space="preserve">68%</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8"/>
                <w:szCs w:val="18"/>
              </w:rPr>
              <w:t xml:space="preserve">No</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18"/>
                <w:szCs w:val="18"/>
              </w:rPr>
              <w:t xml:space="preserve">All</w:t>
            </w:r>
          </w:p>
        </w:tc>
        <w:tc>
          <w:tcPr>
            <w:tcW w:type="dxa" w:w="302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Tajaan Penuh</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45309" w:sz="4"/>
              <w:left w:val="thick" w:color="B45309" w:sz="20"/>
              <w:bottom w:val="single" w:color="B45309" w:sz="4"/>
              <w:right w:val="single" w:color="B45309" w:sz="4"/>
            </w:tcBorders>
            <w:shd w:fill="FFF7ED"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Min A-Grades = minimum number of A/A+/A- grades in SPM. PAJSK = minimum co-curricular percentage. "None" means no requirement for that criterion.</w:t>
            </w:r>
          </w:p>
        </w:tc>
      </w:tr>
    </w:tbl>
    <w:p>
      <w:r>
        <w:br w:type="page"/>
      </w:r>
    </w:p>
    <w:p>
      <w:pPr>
        <w:pStyle w:val="Heading1"/>
        <w:spacing w:after="160" w:before="320"/>
      </w:pPr>
      <w:bookmarkStart w:name="profiles" w:id="1"/>
      <w:r>
        <w:rPr>
          <w:rFonts w:ascii="Arial" w:cs="Arial" w:eastAsia="Arial" w:hAnsi="Arial"/>
          <w:b/>
          <w:bCs/>
          <w:color w:val="0F2057"/>
          <w:sz w:val="32"/>
          <w:szCs w:val="32"/>
        </w:rPr>
        <w:t xml:space="preserve">3.  Individual Scholarship Profiles</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This section provides a detailed technical profile for each scholarship, including all eligibility criteria, preferred RIASEC profiles, supported fields of interest, and system integration notes.</w:t>
      </w:r>
    </w:p>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BIA001  </w:t>
      </w:r>
      <w:r>
        <w:rPr>
          <w:rFonts w:ascii="Arial" w:cs="Arial" w:eastAsia="Arial" w:hAnsi="Arial"/>
          <w:b/>
          <w:bCs/>
          <w:color w:val="FFFFFF"/>
          <w:sz w:val="22"/>
          <w:szCs w:val="22"/>
        </w:rPr>
        <w:t xml:space="preserve">JPA – Program Penajaan Nasional (PPN)</w:t>
      </w:r>
    </w:p>
    <w:p>
      <w:pPr>
        <w:shd w:fill="1A56DB" w:val="clear"/>
        <w:spacing w:after="0" w:before="0"/>
      </w:pPr>
      <w:r>
        <w:rPr>
          <w:rFonts w:ascii="Arial" w:cs="Arial" w:eastAsia="Arial" w:hAnsi="Arial"/>
          <w:color w:val="FFFFFF"/>
          <w:sz w:val="19"/>
          <w:szCs w:val="19"/>
        </w:rPr>
        <w:t xml:space="preserve">  Jabatan Perkhidmatan Awam (JPA)  ·  Government  ·  Deadline: 45 days from application</w:t>
      </w:r>
    </w:p>
    <w:p>
      <w:pPr>
        <w:pBdr>
          <w:bottom w:val="single" w:color="1A56DB" w:sz="4" w:space="1"/>
        </w:pBdr>
        <w:shd w:fill="EFF6FF" w:val="clear"/>
        <w:spacing w:after="80" w:before="0"/>
      </w:pPr>
      <w:r>
        <w:rPr>
          <w:rFonts w:ascii="Arial" w:cs="Arial" w:eastAsia="Arial" w:hAnsi="Arial"/>
          <w:color w:val="334155"/>
          <w:sz w:val="19"/>
          <w:szCs w:val="19"/>
        </w:rPr>
        <w:t xml:space="preserve">  Biasiswa bergengsi JPA untuk lepasan SPM terbaik ke universiti luar negara (USA / UK). Pinjaman boleh ubah kepada biasiswa sepenuhnya.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Minimum 10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82% minimum — equivalent to High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66534"/>
                <w:sz w:val="20"/>
                <w:szCs w:val="20"/>
              </w:rPr>
              <w:t xml:space="preserve">Open to all races — no Bumiputera restriction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 (Luar Negara)</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A56DB"/>
                <w:sz w:val="18"/>
                <w:szCs w:val="18"/>
              </w:rPr>
              <w:t xml:space="preserve">Investigative  ·  Realistic  ·  Enterprising  ·  Social  ·  Conventional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Kejuruteraan &amp; Teknologi
Sains &amp; Perubatan
Perakaunan &amp; Kewangan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JPA  ·  Luar Negara  ·  Kerajaan  ·  Prestij  ·  Pinjaman Boleh Ubah</w:t>
            </w:r>
          </w:p>
        </w:tc>
      </w:tr>
    </w:tbl>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BIA002  </w:t>
      </w:r>
      <w:r>
        <w:rPr>
          <w:rFonts w:ascii="Arial" w:cs="Arial" w:eastAsia="Arial" w:hAnsi="Arial"/>
          <w:b/>
          <w:bCs/>
          <w:color w:val="FFFFFF"/>
          <w:sz w:val="22"/>
          <w:szCs w:val="22"/>
        </w:rPr>
        <w:t xml:space="preserve">JPA – Program Khas LSPM (Dalam Negara)</w:t>
      </w:r>
    </w:p>
    <w:p>
      <w:pPr>
        <w:shd w:fill="1A56DB" w:val="clear"/>
        <w:spacing w:after="0" w:before="0"/>
      </w:pPr>
      <w:r>
        <w:rPr>
          <w:rFonts w:ascii="Arial" w:cs="Arial" w:eastAsia="Arial" w:hAnsi="Arial"/>
          <w:color w:val="FFFFFF"/>
          <w:sz w:val="19"/>
          <w:szCs w:val="19"/>
        </w:rPr>
        <w:t xml:space="preserve">  Jabatan Perkhidmatan Awam (JPA)  ·  Government  ·  Deadline: 50 days from application</w:t>
      </w:r>
    </w:p>
    <w:p>
      <w:pPr>
        <w:pBdr>
          <w:bottom w:val="single" w:color="1A56DB" w:sz="4" w:space="1"/>
        </w:pBdr>
        <w:shd w:fill="EFF6FF" w:val="clear"/>
        <w:spacing w:after="80" w:before="0"/>
      </w:pPr>
      <w:r>
        <w:rPr>
          <w:rFonts w:ascii="Arial" w:cs="Arial" w:eastAsia="Arial" w:hAnsi="Arial"/>
          <w:color w:val="334155"/>
          <w:sz w:val="19"/>
          <w:szCs w:val="19"/>
        </w:rPr>
        <w:t xml:space="preserve">  Program JPA untuk pelajar SPM cemerlang ke universiti awam atau swasta dalam negara. Semua bidang pengajian layak.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Minimum 9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80% minimum — equivalent to Medium to High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66534"/>
                <w:sz w:val="20"/>
                <w:szCs w:val="20"/>
              </w:rPr>
              <w:t xml:space="preserve">Open to all races — no Bumiputera restriction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 (Dalam Negara)</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A56DB"/>
                <w:sz w:val="18"/>
                <w:szCs w:val="18"/>
              </w:rPr>
              <w:t xml:space="preserve">Realistic  ·  Investigative  ·  Artistic  ·  Social  ·  Enterprising  ·  Conventional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 Bidang</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JPA  ·  Dalam Negara  ·  Kerajaan  ·  Semua Bidang</w:t>
            </w:r>
          </w:p>
        </w:tc>
      </w:tr>
    </w:tbl>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BIA003  </w:t>
      </w:r>
      <w:r>
        <w:rPr>
          <w:rFonts w:ascii="Arial" w:cs="Arial" w:eastAsia="Arial" w:hAnsi="Arial"/>
          <w:b/>
          <w:bCs/>
          <w:color w:val="FFFFFF"/>
          <w:sz w:val="22"/>
          <w:szCs w:val="22"/>
        </w:rPr>
        <w:t xml:space="preserve">JPA – Program Khas JPA MARA (PKJM)</w:t>
      </w:r>
    </w:p>
    <w:p>
      <w:pPr>
        <w:shd w:fill="166534" w:val="clear"/>
        <w:spacing w:after="0" w:before="0"/>
      </w:pPr>
      <w:r>
        <w:rPr>
          <w:rFonts w:ascii="Arial" w:cs="Arial" w:eastAsia="Arial" w:hAnsi="Arial"/>
          <w:color w:val="FFFFFF"/>
          <w:sz w:val="19"/>
          <w:szCs w:val="19"/>
        </w:rPr>
        <w:t xml:space="preserve">  JPA &amp; MARA  ·  Government  ·  Deadline: 60 days from application</w:t>
      </w:r>
    </w:p>
    <w:p>
      <w:pPr>
        <w:pBdr>
          <w:bottom w:val="single" w:color="166534" w:sz="4" w:space="1"/>
        </w:pBdr>
        <w:shd w:fill="F0FDF4" w:val="clear"/>
        <w:spacing w:after="80" w:before="0"/>
      </w:pPr>
      <w:r>
        <w:rPr>
          <w:rFonts w:ascii="Arial" w:cs="Arial" w:eastAsia="Arial" w:hAnsi="Arial"/>
          <w:color w:val="334155"/>
          <w:sz w:val="19"/>
          <w:szCs w:val="19"/>
        </w:rPr>
        <w:t xml:space="preserve">  Program bersama JPA-MARA untuk pelajar Bumiputera terbaik ke universiti dalam dan luar negara.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166534"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166534"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5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 PAJSK 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Bumiputera applicants only</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Pinjaman Boleh Ubah</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18"/>
                <w:szCs w:val="18"/>
              </w:rPr>
              <w:t xml:space="preserve">Realistic  ·  Investigative  ·  Artistic  ·  Social  ·  Enterprising  ·  Conventional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 Bidang</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JPA  ·  MARA  ·  Bumiputera  ·  Dalam &amp; Luar Negara</w:t>
            </w:r>
          </w:p>
        </w:tc>
      </w:tr>
    </w:tbl>
    <w:p>
      <w:r>
        <w:br w:type="page"/>
      </w:r>
    </w:p>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BIA004  </w:t>
      </w:r>
      <w:r>
        <w:rPr>
          <w:rFonts w:ascii="Arial" w:cs="Arial" w:eastAsia="Arial" w:hAnsi="Arial"/>
          <w:b/>
          <w:bCs/>
          <w:color w:val="FFFFFF"/>
          <w:sz w:val="22"/>
          <w:szCs w:val="22"/>
        </w:rPr>
        <w:t xml:space="preserve">MARA – Young Talent Development Programme (YTP)</w:t>
      </w:r>
    </w:p>
    <w:p>
      <w:pPr>
        <w:shd w:fill="B45309" w:val="clear"/>
        <w:spacing w:after="0" w:before="0"/>
      </w:pPr>
      <w:r>
        <w:rPr>
          <w:rFonts w:ascii="Arial" w:cs="Arial" w:eastAsia="Arial" w:hAnsi="Arial"/>
          <w:color w:val="FFFFFF"/>
          <w:sz w:val="19"/>
          <w:szCs w:val="19"/>
        </w:rPr>
        <w:t xml:space="preserve">  MARA  ·  Government  ·  Deadline: 55 days from application</w:t>
      </w:r>
    </w:p>
    <w:p>
      <w:pPr>
        <w:pBdr>
          <w:bottom w:val="single" w:color="B45309" w:sz="4" w:space="1"/>
        </w:pBdr>
        <w:shd w:fill="FFFBEB" w:val="clear"/>
        <w:spacing w:after="80" w:before="0"/>
      </w:pPr>
      <w:r>
        <w:rPr>
          <w:rFonts w:ascii="Arial" w:cs="Arial" w:eastAsia="Arial" w:hAnsi="Arial"/>
          <w:color w:val="334155"/>
          <w:sz w:val="19"/>
          <w:szCs w:val="19"/>
        </w:rPr>
        <w:t xml:space="preserve">  Biasiswa bergengsi MARA untuk pelajar Bumiputera cemerlang ke universiti Top 10/30 dunia. Keutamaan B40.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B4530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B4530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Minimum 8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68% minimum — equivalent to Basic to Medium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Bumiputera applicants only</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B40 and M40 households (per-capita income below RM 5,000/month)</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8"/>
                <w:szCs w:val="18"/>
              </w:rPr>
              <w:t xml:space="preserve">Investigative  ·  Realistic  ·  Artistic  ·  Social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Kejuruteraan &amp; Teknologi
Sains &amp; Perubatan
Seni &amp; Komunikasi
Pendidikan &amp; Perkhidmatan Sosial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MARA  ·  Bumiputera  ·  B40 Keutamaan  ·  Top Universiti</w:t>
            </w:r>
          </w:p>
        </w:tc>
      </w:tr>
    </w:tbl>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BIA005  </w:t>
      </w:r>
      <w:r>
        <w:rPr>
          <w:rFonts w:ascii="Arial" w:cs="Arial" w:eastAsia="Arial" w:hAnsi="Arial"/>
          <w:b/>
          <w:bCs/>
          <w:color w:val="FFFFFF"/>
          <w:sz w:val="22"/>
          <w:szCs w:val="22"/>
        </w:rPr>
        <w:t xml:space="preserve">PETRONAS Powering Knowledge Education Sponsorship (PESP)</w:t>
      </w:r>
    </w:p>
    <w:p>
      <w:pPr>
        <w:shd w:fill="0E7490" w:val="clear"/>
        <w:spacing w:after="0" w:before="0"/>
      </w:pPr>
      <w:r>
        <w:rPr>
          <w:rFonts w:ascii="Arial" w:cs="Arial" w:eastAsia="Arial" w:hAnsi="Arial"/>
          <w:color w:val="FFFFFF"/>
          <w:sz w:val="19"/>
          <w:szCs w:val="19"/>
        </w:rPr>
        <w:t xml:space="preserve">  PETRONAS  ·  Corporate (GLC)  ·  Deadline: 40 days from application</w:t>
      </w:r>
    </w:p>
    <w:p>
      <w:pPr>
        <w:pBdr>
          <w:bottom w:val="single" w:color="0E7490" w:sz="4" w:space="1"/>
        </w:pBdr>
        <w:shd w:fill="F0FDFA" w:val="clear"/>
        <w:spacing w:after="80" w:before="0"/>
      </w:pPr>
      <w:r>
        <w:rPr>
          <w:rFonts w:ascii="Arial" w:cs="Arial" w:eastAsia="Arial" w:hAnsi="Arial"/>
          <w:color w:val="334155"/>
          <w:sz w:val="19"/>
          <w:szCs w:val="19"/>
        </w:rPr>
        <w:t xml:space="preserve">  Biasiswa korporat PETRONAS untuk bidang kejuruteraan, sains data dan perniagaan ke UTP dan universiti prestij luar negara.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0E749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0E749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Minimum 9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82% minimum — equivalent to High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66534"/>
                <w:sz w:val="20"/>
                <w:szCs w:val="20"/>
              </w:rPr>
              <w:t xml:space="preserve">Open to all races — no Bumiputera restriction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18"/>
                <w:szCs w:val="18"/>
              </w:rPr>
              <w:t xml:space="preserve">Realistic  ·  Investigative  ·  Enterprising  ·  Conventional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Kejuruteraan &amp; Teknologi
Sains &amp; Perubatan
Perniagaan &amp; Pengurusan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PETRONAS  ·  Korporat  ·  Kejuruteraan  ·  GLC</w:t>
            </w:r>
          </w:p>
        </w:tc>
      </w:tr>
    </w:tbl>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BIA006  </w:t>
      </w:r>
      <w:r>
        <w:rPr>
          <w:rFonts w:ascii="Arial" w:cs="Arial" w:eastAsia="Arial" w:hAnsi="Arial"/>
          <w:b/>
          <w:bCs/>
          <w:color w:val="FFFFFF"/>
          <w:sz w:val="22"/>
          <w:szCs w:val="22"/>
        </w:rPr>
        <w:t xml:space="preserve">Shell Malaysia Scholarship</w:t>
      </w:r>
    </w:p>
    <w:p>
      <w:pPr>
        <w:shd w:fill="9B1C1C" w:val="clear"/>
        <w:spacing w:after="0" w:before="0"/>
      </w:pPr>
      <w:r>
        <w:rPr>
          <w:rFonts w:ascii="Arial" w:cs="Arial" w:eastAsia="Arial" w:hAnsi="Arial"/>
          <w:color w:val="FFFFFF"/>
          <w:sz w:val="19"/>
          <w:szCs w:val="19"/>
        </w:rPr>
        <w:t xml:space="preserve">  Shell Malaysia  ·  Corporate (MNC)  ·  Deadline: 35 days from application</w:t>
      </w:r>
    </w:p>
    <w:p>
      <w:pPr>
        <w:pBdr>
          <w:bottom w:val="single" w:color="9B1C1C" w:sz="4" w:space="1"/>
        </w:pBdr>
        <w:shd w:fill="FEF2F2" w:val="clear"/>
        <w:spacing w:after="80" w:before="0"/>
      </w:pPr>
      <w:r>
        <w:rPr>
          <w:rFonts w:ascii="Arial" w:cs="Arial" w:eastAsia="Arial" w:hAnsi="Arial"/>
          <w:color w:val="334155"/>
          <w:sz w:val="19"/>
          <w:szCs w:val="19"/>
        </w:rPr>
        <w:t xml:space="preserve">  Biasiswa Shell untuk pelajar cemerlang dalam bidang kejuruteraan, geosains dan pengurusan perniagaan ke universiti prestij.</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9B1C1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9B1C1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Minimum 9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80% minimum — equivalent to Medium to High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66534"/>
                <w:sz w:val="20"/>
                <w:szCs w:val="20"/>
              </w:rPr>
              <w:t xml:space="preserve">Open to all races — no Bumiputera restriction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18"/>
                <w:szCs w:val="18"/>
              </w:rPr>
              <w:t xml:space="preserve">Realistic  ·  Investigative  ·  Enterprising  ·  Conventional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Kejuruteraan &amp; Teknologi
Sains &amp; Perubatan
Perniagaan &amp; Pengurusan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Shell  ·  Korporat  ·  Kejuruteraan  ·  Antarabangsa</w:t>
            </w:r>
          </w:p>
        </w:tc>
      </w:tr>
    </w:tbl>
    <w:p>
      <w:r>
        <w:br w:type="page"/>
      </w:r>
    </w:p>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BIA007  </w:t>
      </w:r>
      <w:r>
        <w:rPr>
          <w:rFonts w:ascii="Arial" w:cs="Arial" w:eastAsia="Arial" w:hAnsi="Arial"/>
          <w:b/>
          <w:bCs/>
          <w:color w:val="FFFFFF"/>
          <w:sz w:val="22"/>
          <w:szCs w:val="22"/>
        </w:rPr>
        <w:t xml:space="preserve">Khazanah Watan Scholarship Programme</w:t>
      </w:r>
    </w:p>
    <w:p>
      <w:pPr>
        <w:shd w:fill="5B21B6" w:val="clear"/>
        <w:spacing w:after="0" w:before="0"/>
      </w:pPr>
      <w:r>
        <w:rPr>
          <w:rFonts w:ascii="Arial" w:cs="Arial" w:eastAsia="Arial" w:hAnsi="Arial"/>
          <w:color w:val="FFFFFF"/>
          <w:sz w:val="19"/>
          <w:szCs w:val="19"/>
        </w:rPr>
        <w:t xml:space="preserve">  Yayasan Khazanah  ·  Corporate (GLC)  ·  Deadline: 50 days from application</w:t>
      </w:r>
    </w:p>
    <w:p>
      <w:pPr>
        <w:pBdr>
          <w:bottom w:val="single" w:color="5B21B6" w:sz="4" w:space="1"/>
        </w:pBdr>
        <w:shd w:fill="F5F3FF" w:val="clear"/>
        <w:spacing w:after="80" w:before="0"/>
      </w:pPr>
      <w:r>
        <w:rPr>
          <w:rFonts w:ascii="Arial" w:cs="Arial" w:eastAsia="Arial" w:hAnsi="Arial"/>
          <w:color w:val="334155"/>
          <w:sz w:val="19"/>
          <w:szCs w:val="19"/>
        </w:rPr>
        <w:t xml:space="preserve">  Program biasiswa Khazanah untuk pelajar cemerlang Bumiputera ke universiti awam dalam negara. Semua bidang layak.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Minimum 7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68% minimum — equivalent to Basic to Medium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Bumiputera applicants only</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5B21B6"/>
                <w:sz w:val="18"/>
                <w:szCs w:val="18"/>
              </w:rPr>
              <w:t xml:space="preserve">Realistic  ·  Investigative  ·  Artistic  ·  Social  ·  Enterprising  ·  Conventional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 Bidang</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Khazanah  ·  GLC  ·  Bumiputera  ·  Dalam Negara</w:t>
            </w:r>
          </w:p>
        </w:tc>
      </w:tr>
    </w:tbl>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BIA008  </w:t>
      </w:r>
      <w:r>
        <w:rPr>
          <w:rFonts w:ascii="Arial" w:cs="Arial" w:eastAsia="Arial" w:hAnsi="Arial"/>
          <w:b/>
          <w:bCs/>
          <w:color w:val="FFFFFF"/>
          <w:sz w:val="22"/>
          <w:szCs w:val="22"/>
        </w:rPr>
        <w:t xml:space="preserve">Yayasan Tenaga Nasional (YTN) – TNB Prime Scholarship</w:t>
      </w:r>
    </w:p>
    <w:p>
      <w:pPr>
        <w:shd w:fill="B45309" w:val="clear"/>
        <w:spacing w:after="0" w:before="0"/>
      </w:pPr>
      <w:r>
        <w:rPr>
          <w:rFonts w:ascii="Arial" w:cs="Arial" w:eastAsia="Arial" w:hAnsi="Arial"/>
          <w:color w:val="FFFFFF"/>
          <w:sz w:val="19"/>
          <w:szCs w:val="19"/>
        </w:rPr>
        <w:t xml:space="preserve">  Yayasan Tenaga Nasional (TNB)  ·  Corporate (GLC)  ·  Deadline: 45 days from application</w:t>
      </w:r>
    </w:p>
    <w:p>
      <w:pPr>
        <w:pBdr>
          <w:bottom w:val="single" w:color="B45309" w:sz="4" w:space="1"/>
        </w:pBdr>
        <w:shd w:fill="FFFBEB" w:val="clear"/>
        <w:spacing w:after="80" w:before="0"/>
      </w:pPr>
      <w:r>
        <w:rPr>
          <w:rFonts w:ascii="Arial" w:cs="Arial" w:eastAsia="Arial" w:hAnsi="Arial"/>
          <w:color w:val="334155"/>
          <w:sz w:val="19"/>
          <w:szCs w:val="19"/>
        </w:rPr>
        <w:t xml:space="preserve">  Biasiswa TNB untuk bidang kejuruteraan elektrik, mekanikal, awam, IT dan pengurusan ke universiti dalam dan luar negara.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B4530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B4530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6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68% minimum — equivalent to Basic to Medium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66534"/>
                <w:sz w:val="20"/>
                <w:szCs w:val="20"/>
              </w:rPr>
              <w:t xml:space="preserve">Open to all races — no Bumiputera restriction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8"/>
                <w:szCs w:val="18"/>
              </w:rPr>
              <w:t xml:space="preserve">Realistic  ·  Investigative  ·  Conventional  ·  Enterprising</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Kejuruteraan &amp; Teknologi
Perakaunan &amp; Kewangan
Perniagaan &amp; Pengurusan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TNB  ·  GLC  ·  Kejuruteraan  ·  IT</w:t>
            </w:r>
          </w:p>
        </w:tc>
      </w:tr>
    </w:tbl>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BIA009  </w:t>
      </w:r>
      <w:r>
        <w:rPr>
          <w:rFonts w:ascii="Arial" w:cs="Arial" w:eastAsia="Arial" w:hAnsi="Arial"/>
          <w:b/>
          <w:bCs/>
          <w:color w:val="FFFFFF"/>
          <w:sz w:val="22"/>
          <w:szCs w:val="22"/>
        </w:rPr>
        <w:t xml:space="preserve">Biasiswa Yayasan Pahang</w:t>
      </w:r>
    </w:p>
    <w:p>
      <w:pPr>
        <w:shd w:fill="166534" w:val="clear"/>
        <w:spacing w:after="0" w:before="0"/>
      </w:pPr>
      <w:r>
        <w:rPr>
          <w:rFonts w:ascii="Arial" w:cs="Arial" w:eastAsia="Arial" w:hAnsi="Arial"/>
          <w:color w:val="FFFFFF"/>
          <w:sz w:val="19"/>
          <w:szCs w:val="19"/>
        </w:rPr>
        <w:t xml:space="preserve">  Yayasan Pahang  ·  State Foundation  ·  Deadline: 60 days from application</w:t>
      </w:r>
    </w:p>
    <w:p>
      <w:pPr>
        <w:pBdr>
          <w:bottom w:val="single" w:color="166534" w:sz="4" w:space="1"/>
        </w:pBdr>
        <w:shd w:fill="F0FDF4" w:val="clear"/>
        <w:spacing w:after="80" w:before="0"/>
      </w:pPr>
      <w:r>
        <w:rPr>
          <w:rFonts w:ascii="Arial" w:cs="Arial" w:eastAsia="Arial" w:hAnsi="Arial"/>
          <w:color w:val="334155"/>
          <w:sz w:val="19"/>
          <w:szCs w:val="19"/>
        </w:rPr>
        <w:t xml:space="preserve">  Biasiswa kerajaan negeri Pahang untuk pelajar B40 anak Pahang ke peringkat diploma dan ijazah dalam negara.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166534"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166534"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3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 PAJSK 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66534"/>
                <w:sz w:val="20"/>
                <w:szCs w:val="20"/>
              </w:rPr>
              <w:t xml:space="preserve">Open to all races — no Bumiputera restriction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B40 households only (per-capita income below RM 1,500/month)</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Bantuan Kewangan (Separa)</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18"/>
                <w:szCs w:val="18"/>
              </w:rPr>
              <w:t xml:space="preserve">Realistic  ·  Investigative  ·  Artistic  ·  Social  ·  Enterprising  ·  Conventional</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 Bidang</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Yayasan Pahang  ·  Negeri  ·  B40  ·  Pahang</w:t>
            </w:r>
          </w:p>
        </w:tc>
      </w:tr>
    </w:tbl>
    <w:p>
      <w:r>
        <w:br w:type="page"/>
      </w:r>
    </w:p>
    <w:p>
      <w:pPr>
        <w:spacing w:line="200"/>
      </w:pPr>
      <w:r>
        <w:t xml:space="preserve"/>
      </w:r>
    </w:p>
    <w:p>
      <w:pPr>
        <w:shd w:fill="0F2057" w:val="clear"/>
        <w:spacing w:after="0" w:before="200"/>
      </w:pPr>
      <w:r>
        <w:rPr>
          <w:rFonts w:ascii="Arial" w:cs="Arial" w:eastAsia="Arial" w:hAnsi="Arial"/>
          <w:b/>
          <w:bCs/>
          <w:color w:val="FFFFFF"/>
          <w:sz w:val="26"/>
          <w:szCs w:val="26"/>
          <w:highlight w:val="none"/>
          <w:highlightCs w:val="none"/>
        </w:rPr>
        <w:t xml:space="preserve">  BIA010  </w:t>
      </w:r>
      <w:r>
        <w:rPr>
          <w:rFonts w:ascii="Arial" w:cs="Arial" w:eastAsia="Arial" w:hAnsi="Arial"/>
          <w:b/>
          <w:bCs/>
          <w:color w:val="FFFFFF"/>
          <w:sz w:val="22"/>
          <w:szCs w:val="22"/>
        </w:rPr>
        <w:t xml:space="preserve">Biasiswa Yayasan UEM</w:t>
      </w:r>
    </w:p>
    <w:p>
      <w:pPr>
        <w:shd w:fill="475569" w:val="clear"/>
        <w:spacing w:after="0" w:before="0"/>
      </w:pPr>
      <w:r>
        <w:rPr>
          <w:rFonts w:ascii="Arial" w:cs="Arial" w:eastAsia="Arial" w:hAnsi="Arial"/>
          <w:color w:val="FFFFFF"/>
          <w:sz w:val="19"/>
          <w:szCs w:val="19"/>
        </w:rPr>
        <w:t xml:space="preserve">  Yayasan UEM  ·  Corporate (GLC)  ·  Deadline: 40 days from application</w:t>
      </w:r>
    </w:p>
    <w:p>
      <w:pPr>
        <w:pBdr>
          <w:bottom w:val="single" w:color="475569" w:sz="4" w:space="1"/>
        </w:pBdr>
        <w:shd w:fill="F1F5F9" w:val="clear"/>
        <w:spacing w:after="80" w:before="0"/>
      </w:pPr>
      <w:r>
        <w:rPr>
          <w:rFonts w:ascii="Arial" w:cs="Arial" w:eastAsia="Arial" w:hAnsi="Arial"/>
          <w:color w:val="334155"/>
          <w:sz w:val="19"/>
          <w:szCs w:val="19"/>
        </w:rPr>
        <w:t xml:space="preserve">  Biasiswa Yayasan UEM untuk bidang kejuruteraan, sains komputer dan pengurusan projek ke universiti dalam dan luar negara.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47556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Eligibility Criterion</w:t>
            </w:r>
          </w:p>
        </w:tc>
        <w:tc>
          <w:tcPr>
            <w:tcW w:type="dxa" w:w="7546"/>
            <w:gridSpan w:val="1"/>
            <w:tcBorders>
              <w:top w:val="single" w:color="E2E8F0" w:sz="4"/>
              <w:left w:val="single" w:color="E2E8F0" w:sz="4"/>
              <w:bottom w:val="single" w:color="E2E8F0" w:sz="4"/>
              <w:right w:val="single" w:color="E2E8F0" w:sz="4"/>
            </w:tcBorders>
            <w:shd w:fill="47556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Requirement</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 Required</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6 subjects graded A, A+, or A-</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68% minimum — equivalent to Basic to Medium leadership level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Requirement</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66534"/>
                <w:sz w:val="20"/>
                <w:szCs w:val="20"/>
              </w:rPr>
              <w:t xml:space="preserve">Open to all races — no Bumiputera restriction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Group Eligibility</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Open to B40, M40, and T20 — no income restriction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Award Value</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Tajaan Penuh</w:t>
            </w:r>
          </w:p>
        </w:tc>
      </w:tr>
    </w:tbl>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Matching Dimension</w:t>
            </w:r>
          </w:p>
        </w:tc>
        <w:tc>
          <w:tcPr>
            <w:tcW w:type="dxa" w:w="7546"/>
            <w:gridSpan w:val="1"/>
            <w:tcBorders>
              <w:top w:val="single" w:color="E2E8F0" w:sz="4"/>
              <w:left w:val="single" w:color="E2E8F0" w:sz="4"/>
              <w:bottom w:val="single" w:color="E2E8F0" w:sz="4"/>
              <w:right w:val="single" w:color="E2E8F0" w:sz="4"/>
            </w:tcBorders>
            <w:shd w:fill="334155"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RIASEC Types</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475569"/>
                <w:sz w:val="18"/>
                <w:szCs w:val="18"/>
              </w:rPr>
              <w:t xml:space="preserve">Realistic  ·  Investigative  ·  Conventional  ·  Enterprising</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 Fields of Interest</w:t>
            </w:r>
          </w:p>
        </w:tc>
        <w:tc>
          <w:tcPr>
            <w:tcW w:type="dxa" w:w="7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Kejuruteraan &amp; Teknologi
Sains &amp; Perubatan
Perniagaan &amp; Pengurusan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Tags (UI / Filter)</w:t>
            </w:r>
          </w:p>
        </w:tc>
        <w:tc>
          <w:tcPr>
            <w:tcW w:type="dxa" w:w="7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UEM  ·  GLC  ·  Kejuruteraan  ·  Sains Komputer</w:t>
            </w:r>
          </w:p>
        </w:tc>
      </w:tr>
    </w:tbl>
    <w:p>
      <w:r>
        <w:br w:type="page"/>
      </w:r>
    </w:p>
    <w:p>
      <w:pPr>
        <w:pStyle w:val="Heading1"/>
        <w:spacing w:after="160" w:before="320"/>
      </w:pPr>
      <w:bookmarkStart w:name="formula" w:id="1"/>
      <w:r>
        <w:rPr>
          <w:rFonts w:ascii="Arial" w:cs="Arial" w:eastAsia="Arial" w:hAnsi="Arial"/>
          <w:b/>
          <w:bCs/>
          <w:color w:val="0F2057"/>
          <w:sz w:val="32"/>
          <w:szCs w:val="32"/>
        </w:rPr>
        <w:t xml:space="preserve">4.  Scholarship Matching Formula</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Agent 2 computes a match score for each student–scholarship pair using a weighted formula across five dimensions. The score determines the ranking and recommendation order presented to the student.</w:t>
      </w:r>
    </w:p>
    <w:p>
      <w:pPr>
        <w:spacing w:line="160"/>
      </w:pPr>
      <w:r>
        <w:t xml:space="preserve"/>
      </w:r>
    </w:p>
    <w:p>
      <w:pPr>
        <w:pStyle w:val="Heading2"/>
        <w:spacing w:after="120" w:before="220"/>
      </w:pPr>
      <w:r>
        <w:rPr>
          <w:rFonts w:ascii="Arial" w:cs="Arial" w:eastAsia="Arial" w:hAnsi="Arial"/>
          <w:b/>
          <w:bCs/>
          <w:color w:val="1A56DB"/>
          <w:sz w:val="26"/>
          <w:szCs w:val="26"/>
        </w:rPr>
        <w:t xml:space="preserve">4.1  Five-Dimension Weighted Formula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000"/>
        <w:gridCol w:w="5846"/>
      </w:tblGrid>
      <w:tr>
        <w:tc>
          <w:tcPr>
            <w:tcW w:type="dxa" w:w="5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Dimension</w:t>
            </w:r>
          </w:p>
        </w:tc>
        <w:tc>
          <w:tcPr>
            <w:tcW w:type="dxa" w:w="1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Weight</w:t>
            </w:r>
          </w:p>
        </w:tc>
        <w:tc>
          <w:tcPr>
            <w:tcW w:type="dxa" w:w="58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How Agent 2 Computes It</w:t>
            </w:r>
          </w:p>
        </w:tc>
      </w:tr>
      <w:tr>
        <w:tc>
          <w:tcPr>
            <w:tcW w:type="dxa" w:w="5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4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Academic Performance (SPM GP Score)</w:t>
            </w:r>
          </w:p>
        </w:tc>
        <w:tc>
          <w:tcPr>
            <w:tcW w:type="dxa" w:w="10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35%</w:t>
            </w:r>
          </w:p>
        </w:tc>
        <w:tc>
          <w:tcPr>
            <w:tcW w:type="dxa" w:w="5846"/>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Normalised GP score × 35. Checks minSpmRequirement: if student fails to meet it, this dimension returns 0.</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Co-curricular Score</w:t>
            </w:r>
          </w:p>
        </w:tc>
        <w:tc>
          <w:tcPr>
            <w:tcW w:type="dxa" w:w="1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20%</w:t>
            </w:r>
          </w:p>
        </w:tc>
        <w:tc>
          <w:tcPr>
            <w:tcW w:type="dxa" w:w="58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Normalised PAJSK% × 20. Checks pajskRequirement: if student is below threshold, this dimension returns 0.</w:t>
            </w:r>
          </w:p>
        </w:tc>
      </w:tr>
      <w:tr>
        <w:tc>
          <w:tcPr>
            <w:tcW w:type="dxa" w:w="5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4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Match (RIASEC)</w:t>
            </w:r>
          </w:p>
        </w:tc>
        <w:tc>
          <w:tcPr>
            <w:tcW w:type="dxa" w:w="10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15%</w:t>
            </w:r>
          </w:p>
        </w:tc>
        <w:tc>
          <w:tcPr>
            <w:tcW w:type="dxa" w:w="5846"/>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Top-3 Holland Codes compared to preferredRiasec. 1st match = full score, 2nd = partial, 3rd = lower partial.</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Career Aspiration &amp; Field of Interest</w:t>
            </w:r>
          </w:p>
        </w:tc>
        <w:tc>
          <w:tcPr>
            <w:tcW w:type="dxa" w:w="1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15%</w:t>
            </w:r>
          </w:p>
        </w:tc>
        <w:tc>
          <w:tcPr>
            <w:tcW w:type="dxa" w:w="58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student.fieldOfInterest checked against preferredFields array. Exact match = full score.</w:t>
            </w:r>
          </w:p>
        </w:tc>
      </w:tr>
      <w:tr>
        <w:tc>
          <w:tcPr>
            <w:tcW w:type="dxa" w:w="5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24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Parent / Family Background</w:t>
            </w:r>
          </w:p>
        </w:tc>
        <w:tc>
          <w:tcPr>
            <w:tcW w:type="dxa" w:w="10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15%</w:t>
            </w:r>
          </w:p>
        </w:tc>
        <w:tc>
          <w:tcPr>
            <w:tcW w:type="dxa" w:w="5846"/>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student.parentCategory vs parentCategoryRequired. Mismatch = 0 (hard disqualification). Bumiputera flag also checked here.</w:t>
            </w:r>
          </w:p>
        </w:tc>
      </w:tr>
      <w:tr>
        <w:tc>
          <w:tcPr>
            <w:tcW w:type="dxa" w:w="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F2057"/>
                <w:sz w:val="20"/>
                <w:szCs w:val="20"/>
              </w:rPr>
              <w:t xml:space="preserve">TOTAL</w:t>
            </w:r>
          </w:p>
        </w:tc>
        <w:tc>
          <w:tcPr>
            <w:tcW w:type="dxa" w:w="1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100%</w:t>
            </w:r>
          </w:p>
        </w:tc>
        <w:tc>
          <w:tcPr>
            <w:tcW w:type="dxa" w:w="58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Final score 0–100. Top 3 scholarships by score are presented to the student.</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4.2  Eligibility Hard Gates</w:t>
      </w:r>
    </w:p>
    <w:p>
      <w:pPr>
        <w:spacing w:after="60" w:before="60"/>
        <w:jc w:val="left"/>
      </w:pPr>
      <w:r>
        <w:rPr>
          <w:rFonts w:ascii="Arial" w:cs="Arial" w:eastAsia="Arial" w:hAnsi="Arial"/>
          <w:b w:val="false"/>
          <w:bCs w:val="false"/>
          <w:color w:val="334155"/>
          <w:sz w:val="21"/>
          <w:szCs w:val="21"/>
        </w:rPr>
        <w:t xml:space="preserve">Some criteria act as hard gates — a student fails them entirely and the scholarship is excluded from results regardless of other scores:</w:t>
      </w:r>
    </w:p>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346"/>
      </w:tblGrid>
      <w:tr>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Hard Gate</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Dataset Field</w:t>
            </w:r>
          </w:p>
        </w:tc>
        <w:tc>
          <w:tcPr>
            <w:tcW w:type="dxa" w:w="5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Exclusion Rule</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Bumiputera Only</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bumiputeraOnly</w:t>
            </w:r>
          </w:p>
        </w:tc>
        <w:tc>
          <w:tcPr>
            <w:tcW w:type="dxa" w:w="5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If true and student is not Bumiputera, scholarship is excluded. Affects BIA003, BIA004, BIA007.</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Income Category</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parentCategoryRequired</w:t>
            </w:r>
          </w:p>
        </w:tc>
        <w:tc>
          <w:tcPr>
            <w:tcW w:type="dxa" w:w="5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If "B40" → only B40 students qualify. If "B40/M40" → T20 students are excluded. "All" = no restriction.</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SPM A-Grades</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minSpmRequirement</w:t>
            </w:r>
          </w:p>
        </w:tc>
        <w:tc>
          <w:tcPr>
            <w:tcW w:type="dxa" w:w="5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If student has fewer A-grade subjects than required, academic dimension score = 0 (effectively excluded).</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Minimum PAJSK Score</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pajskRequirement</w:t>
            </w:r>
          </w:p>
        </w:tc>
        <w:tc>
          <w:tcPr>
            <w:tcW w:type="dxa" w:w="5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If student PAJSK% is below threshold and threshold &gt; 0, PAJSK dimension score = 0.</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9B1C1C" w:sz="4"/>
              <w:left w:val="thick" w:color="9B1C1C" w:sz="20"/>
              <w:bottom w:val="single" w:color="9B1C1C" w:sz="4"/>
              <w:right w:val="single" w:color="9B1C1C" w:sz="4"/>
            </w:tcBorders>
            <w:shd w:fill="FEF2F2"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A student that fails a hard gate on income or Bumiputera status will receive a score of 0 for that scholarship — it will not appear in their top-3 recommendations even if their academic performance is excellent.</w:t>
            </w:r>
          </w:p>
        </w:tc>
      </w:tr>
    </w:tbl>
    <w:p>
      <w:r>
        <w:br w:type="page"/>
      </w:r>
    </w:p>
    <w:p>
      <w:pPr>
        <w:pStyle w:val="Heading1"/>
        <w:spacing w:after="160" w:before="320"/>
      </w:pPr>
      <w:bookmarkStart w:name="riasec" w:id="1"/>
      <w:r>
        <w:rPr>
          <w:rFonts w:ascii="Arial" w:cs="Arial" w:eastAsia="Arial" w:hAnsi="Arial"/>
          <w:b/>
          <w:bCs/>
          <w:color w:val="0F2057"/>
          <w:sz w:val="32"/>
          <w:szCs w:val="32"/>
        </w:rPr>
        <w:t xml:space="preserve">5.  RIASEC–Scholarship Alignment Matrix</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The matrix below shows which scholarships accept each RIASEC type as a preferred match. A tick (✓) indicates the RIASEC type appears in that scholarship's preferredRiasec array. Students with that top RIASEC code will receive a higher psychometric match score.</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tblGrid>
      <w:tr>
        <w:tc>
          <w:tcPr>
            <w:tcW w:type="dxa" w:w="2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w:t>
            </w:r>
          </w:p>
        </w:tc>
        <w:tc>
          <w:tcPr>
            <w:tcW w:type="dxa" w:w="9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R</w:t>
            </w:r>
          </w:p>
        </w:tc>
        <w:tc>
          <w:tcPr>
            <w:tcW w:type="dxa" w:w="900"/>
            <w:gridSpan w:val="1"/>
            <w:tcBorders>
              <w:top w:val="single" w:color="E2E8F0" w:sz="4"/>
              <w:left w:val="single" w:color="E2E8F0" w:sz="4"/>
              <w:bottom w:val="single" w:color="E2E8F0" w:sz="4"/>
              <w:right w:val="single" w:color="E2E8F0" w:sz="4"/>
            </w:tcBorders>
            <w:shd w:fill="166534"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I</w:t>
            </w:r>
          </w:p>
        </w:tc>
        <w:tc>
          <w:tcPr>
            <w:tcW w:type="dxa" w:w="900"/>
            <w:gridSpan w:val="1"/>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A</w:t>
            </w:r>
          </w:p>
        </w:tc>
        <w:tc>
          <w:tcPr>
            <w:tcW w:type="dxa" w:w="900"/>
            <w:gridSpan w:val="1"/>
            <w:tcBorders>
              <w:top w:val="single" w:color="E2E8F0" w:sz="4"/>
              <w:left w:val="single" w:color="E2E8F0" w:sz="4"/>
              <w:bottom w:val="single" w:color="E2E8F0" w:sz="4"/>
              <w:right w:val="single" w:color="E2E8F0" w:sz="4"/>
            </w:tcBorders>
            <w:shd w:fill="B4530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w:t>
            </w:r>
          </w:p>
        </w:tc>
        <w:tc>
          <w:tcPr>
            <w:tcW w:type="dxa" w:w="900"/>
            <w:gridSpan w:val="1"/>
            <w:tcBorders>
              <w:top w:val="single" w:color="E2E8F0" w:sz="4"/>
              <w:left w:val="single" w:color="E2E8F0" w:sz="4"/>
              <w:bottom w:val="single" w:color="E2E8F0" w:sz="4"/>
              <w:right w:val="single" w:color="E2E8F0" w:sz="4"/>
            </w:tcBorders>
            <w:shd w:fill="9B1C1C"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E</w:t>
            </w:r>
          </w:p>
        </w:tc>
        <w:tc>
          <w:tcPr>
            <w:tcW w:type="dxa" w:w="900"/>
            <w:gridSpan w:val="1"/>
            <w:tcBorders>
              <w:top w:val="single" w:color="E2E8F0" w:sz="4"/>
              <w:left w:val="single" w:color="E2E8F0" w:sz="4"/>
              <w:bottom w:val="single" w:color="E2E8F0" w:sz="4"/>
              <w:right w:val="single" w:color="E2E8F0" w:sz="4"/>
            </w:tcBorders>
            <w:shd w:fill="0E7490"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K</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BIA001  JPA – Program Penajaan Nasional (PPN)</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BIA002  JPA – Program Khas LSPM (Dalam Negara)</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BIA003  JPA – Program Khas JPA MARA (PKJM)</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BIA004  MARA – Young Talent Development Programme (YTP)</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BIA005  PETRONAS Powering Knowledge Education Sponsorship (PESP)</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BIA006  Shell Malaysia Scholarship</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BIA007  Khazanah Watan Scholarship Programme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BIA008  Yayasan Tenaga Nasional (YTN) – TNB Prime Scholarship</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BIA009  Biasiswa Yayasan Pahang</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BIA010  Biasiswa Yayasan UEM</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C0CAD8"/>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w:t>
            </w:r>
          </w:p>
        </w:tc>
        <w:tc>
          <w:tcPr>
            <w:tcW w:type="dxa" w:w="9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w:t>
            </w:r>
          </w:p>
        </w:tc>
      </w:tr>
    </w:tbl>
    <w:p>
      <w:pPr>
        <w:spacing w:line="120"/>
      </w:pPr>
      <w:r>
        <w:t xml:space="preserve"/>
      </w:r>
    </w:p>
    <w:p>
      <w:pPr>
        <w:pStyle w:val="Heading2"/>
        <w:spacing w:after="120" w:before="220"/>
      </w:pPr>
      <w:r>
        <w:rPr>
          <w:rFonts w:ascii="Arial" w:cs="Arial" w:eastAsia="Arial" w:hAnsi="Arial"/>
          <w:b/>
          <w:bCs/>
          <w:color w:val="1A56DB"/>
          <w:sz w:val="26"/>
          <w:szCs w:val="26"/>
        </w:rPr>
        <w:t xml:space="preserve">5.1  Coverage Summary by RIASEC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5346"/>
      </w:tblGrid>
      <w:tr>
        <w:tc>
          <w:tcPr>
            <w:tcW w:type="dxa" w:w="1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RIASEC Type</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Code</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Scholarships Accepting</w:t>
            </w:r>
          </w:p>
        </w:tc>
        <w:tc>
          <w:tcPr>
            <w:tcW w:type="dxa" w:w="5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Scholarships</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56DB"/>
                <w:sz w:val="20"/>
                <w:szCs w:val="20"/>
              </w:rPr>
              <w:t xml:space="preserve">Realistic</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R</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9/10</w:t>
            </w:r>
          </w:p>
        </w:tc>
        <w:tc>
          <w:tcPr>
            <w:tcW w:type="dxa" w:w="5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BIA001–BIA010 (all except none)</w:t>
            </w:r>
          </w:p>
        </w:tc>
      </w:tr>
      <w:tr>
        <w:tc>
          <w:tcPr>
            <w:tcW w:type="dxa" w:w="1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Investigative</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I</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9/10</w:t>
            </w:r>
          </w:p>
        </w:tc>
        <w:tc>
          <w:tcPr>
            <w:tcW w:type="dxa" w:w="5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Almost all — BIA001–BIA010</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9B1C1C"/>
                <w:sz w:val="20"/>
                <w:szCs w:val="20"/>
              </w:rPr>
              <w:t xml:space="preserve">Enterprising</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E</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8/10</w:t>
            </w:r>
          </w:p>
        </w:tc>
        <w:tc>
          <w:tcPr>
            <w:tcW w:type="dxa" w:w="5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BIA001,BIA002,BIA003,BIA005,BIA006,BIA007,BIA008,BIA009,BIA010</w:t>
            </w:r>
          </w:p>
        </w:tc>
      </w:tr>
      <w:tr>
        <w:tc>
          <w:tcPr>
            <w:tcW w:type="dxa" w:w="1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Conventional</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K</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7/10</w:t>
            </w:r>
          </w:p>
        </w:tc>
        <w:tc>
          <w:tcPr>
            <w:tcW w:type="dxa" w:w="5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BIA001,BIA002,BIA003,BIA005,BIA006,BIA007,BIA008,BIA009,BIA010</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Social</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S</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6/10</w:t>
            </w:r>
          </w:p>
        </w:tc>
        <w:tc>
          <w:tcPr>
            <w:tcW w:type="dxa" w:w="5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BIA001,BIA002,BIA003,BIA004,BIA007,BIA009</w:t>
            </w:r>
          </w:p>
        </w:tc>
      </w:tr>
      <w:tr>
        <w:tc>
          <w:tcPr>
            <w:tcW w:type="dxa" w:w="1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5B21B6"/>
                <w:sz w:val="20"/>
                <w:szCs w:val="20"/>
              </w:rPr>
              <w:t xml:space="preserve">Artistic</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A</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5/10</w:t>
            </w:r>
          </w:p>
        </w:tc>
        <w:tc>
          <w:tcPr>
            <w:tcW w:type="dxa" w:w="5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BIA002,BIA003,BIA004,BIA007,BIA009</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Realistic (R) and Investigative (I) students have the broadest scholarship eligibility — matching 9 out of 10 scholarships. Artistic (A) students have the narrowest match at 5 out of 10. This aligns with the dataset: Realistic is also the most common student RIASEC type (26% of class).</w:t>
            </w:r>
          </w:p>
        </w:tc>
      </w:tr>
    </w:tbl>
    <w:p>
      <w:r>
        <w:br w:type="page"/>
      </w:r>
    </w:p>
    <w:p>
      <w:pPr>
        <w:pStyle w:val="Heading1"/>
        <w:spacing w:after="160" w:before="320"/>
      </w:pPr>
      <w:bookmarkStart w:name="eligibility" w:id="1"/>
      <w:r>
        <w:rPr>
          <w:rFonts w:ascii="Arial" w:cs="Arial" w:eastAsia="Arial" w:hAnsi="Arial"/>
          <w:b/>
          <w:bCs/>
          <w:color w:val="0F2057"/>
          <w:sz w:val="32"/>
          <w:szCs w:val="32"/>
        </w:rPr>
        <w:t xml:space="preserve">6.  Class Eligibility Estimate</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Using the known student dataset statistics, this section estimates how many of the 50 students in Kelas Ibnu Khaldun are likely to qualify for each scholarship based on their academic and co-curricular profiles.</w:t>
      </w:r>
    </w:p>
    <w:p>
      <w:pPr>
        <w:spacing w:line="160"/>
      </w:pPr>
      <w:r>
        <w:t xml:space="preserve"/>
      </w:r>
    </w:p>
    <w:p>
      <w:pPr>
        <w:pStyle w:val="Heading2"/>
        <w:spacing w:after="120" w:before="220"/>
      </w:pPr>
      <w:r>
        <w:rPr>
          <w:rFonts w:ascii="Arial" w:cs="Arial" w:eastAsia="Arial" w:hAnsi="Arial"/>
          <w:b/>
          <w:bCs/>
          <w:color w:val="1A56DB"/>
          <w:sz w:val="26"/>
          <w:szCs w:val="26"/>
        </w:rPr>
        <w:t xml:space="preserve">6.1  Estimated Eligible Students per Scholarship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600"/>
        <w:gridCol w:w="35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ID</w:t>
            </w:r>
          </w:p>
        </w:tc>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Key Barrier</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Est. Eligible</w:t>
            </w:r>
          </w:p>
        </w:tc>
        <w:tc>
          <w:tcPr>
            <w:tcW w:type="dxa" w:w="3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Basis of Estimate</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BIA001</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JPA PPN</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GP ≥10 + PAJSK ≥82%</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~2–5 students</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Only 2 students scored perfect GP 10.0; ~12 students have High PAJSK (≥85%). Intersection is small.</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BIA002</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JPA LSPM</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GP ≥9 + PAJSK ≥80%</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~8–12 students</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GP ≥9 roughly top 20%; 40 students have PAJSK ≥70%. Overlap estimated at ~10.</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BIA003</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JPA-MARA PKJM</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Bumiputera only, GP ≥5</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~30–35 students</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Low GP threshold; Bumiputera restriction reduces pool. Class from SBP = predominantly Bumiputera.</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BIA004</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MARA YTP</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Bumiputera, GP ≥8, B40/M40</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~10–15 students</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B40+M40 = 40 students. Among those, GP ≥8 estimated ~20–25. Bumiputera reduces further.</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BIA005</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PETRONAS PESP</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GP ≥9 + PAJSK ≥82%</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~5–8 students</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Same threshold as BIA001 but open to all races. No income restriction — slightly wider than BIA001.</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BIA006</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Shell Malaysia</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GP ≥9 + PAJSK ≥80%</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~5–10 students</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Same academic bar as BIA002 but narrower fields (Eng/Sci/Business only). RIASEC R/I/E/K required.</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BIA007</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Khazanah Watan</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Bumiputera, GP ≥7</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~20–25 students</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GP ≥7 covers roughly top 50%. Bumiputera restriction applies. No income restriction.</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BIA008</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TNB Prime</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GP ≥6 + PAJSK ≥68%</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~25–30 students</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GP ≥6 covers majority of class. PAJSK ≥68% — most students meet this. Narrower fields.</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BIA009</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Yayasan Pahang</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B40 + GP ≥3</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~27 students</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B40 = 27 students. GP ≥3 is a very low threshold — almost all B40 students qualify.</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18"/>
                <w:szCs w:val="18"/>
              </w:rPr>
              <w:t xml:space="preserve">BIA010</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Yayasan UEM</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7"/>
                <w:szCs w:val="17"/>
              </w:rPr>
              <w:t xml:space="preserve">GP ≥6 + PAJSK ≥68%</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7"/>
                <w:szCs w:val="17"/>
              </w:rPr>
              <w:t xml:space="preserve">~25–30 students</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Similar to BIA008. Open to all races. Narrower fields than some government scholarships.</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56DB" w:sz="4"/>
              <w:left w:val="thick" w:color="1A56DB" w:sz="20"/>
              <w:bottom w:val="single" w:color="1A56DB" w:sz="4"/>
              <w:right w:val="single" w:color="1A56DB" w:sz="4"/>
            </w:tcBorders>
            <w:shd w:fill="EFF6FF"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These are estimates based on class averages — actual eligibility is computed per student by Agent 2 using exact individual scores. The estimates above help understand the competitive landscape before running the pipeline.</w:t>
            </w:r>
          </w:p>
        </w:tc>
      </w:tr>
    </w:tbl>
    <w:p>
      <w:r>
        <w:br w:type="page"/>
      </w:r>
    </w:p>
    <w:p>
      <w:pPr>
        <w:pStyle w:val="Heading1"/>
        <w:spacing w:after="160" w:before="320"/>
      </w:pPr>
      <w:bookmarkStart w:name="summary" w:id="1"/>
      <w:r>
        <w:rPr>
          <w:rFonts w:ascii="Arial" w:cs="Arial" w:eastAsia="Arial" w:hAnsi="Arial"/>
          <w:b/>
          <w:bCs/>
          <w:color w:val="0F2057"/>
          <w:sz w:val="32"/>
          <w:szCs w:val="32"/>
        </w:rPr>
        <w:t xml:space="preserve">7.  Summary &amp; System Design Notes</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Key findings and design decisions regarding the scholarship database as used in the PRESTIJ system:</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7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3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Finding / Design Decision</w:t>
            </w:r>
          </w:p>
        </w:tc>
        <w:tc>
          <w:tcPr>
            <w:tcW w:type="dxa" w:w="57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Impact on System</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BIA009 (Yayasan Pahang) has the most accessible threshold (GP ≥3, B40 only, no PAJSK requirement)</w:t>
            </w:r>
          </w:p>
        </w:tc>
        <w:tc>
          <w:tcPr>
            <w:tcW w:type="dxa" w:w="5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All 27 B40 students will likely receive BIA009 as a recommendation — serves as a safety-net scholarship</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2</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BIA001 (JPA PPN) has the most demanding threshold (GP = 10, PAJSK ≥82%)</w:t>
            </w:r>
          </w:p>
        </w:tc>
        <w:tc>
          <w:tcPr>
            <w:tcW w:type="dxa" w:w="57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Only top 2–5 students will qualify — creates a prestige tier that rewards excellence</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3</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5 out of 10 scholarships restrict to Bumiputera applicants</w:t>
            </w:r>
          </w:p>
        </w:tc>
        <w:tc>
          <w:tcPr>
            <w:tcW w:type="dxa" w:w="5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System must apply bumiputeraOnly flag strictly; non-Bumiputera students receive different recommendation sets</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4</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Realistic (R) students (26% of class) have the widest scholarship match pool</w:t>
            </w:r>
          </w:p>
        </w:tc>
        <w:tc>
          <w:tcPr>
            <w:tcW w:type="dxa" w:w="57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Engineering and Technology students are best served by the current database</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5</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Artistic (A) students are underserved — only 5 scholarships accept A as preferred RIASEC</w:t>
            </w:r>
          </w:p>
        </w:tc>
        <w:tc>
          <w:tcPr>
            <w:tcW w:type="dxa" w:w="5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 future database expansion should include more arts, design, and communication scholarships</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6</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requirement of 0 in BIA003 and BIA009 means co-curricular performance is irrelevant for those scholarships</w:t>
            </w:r>
          </w:p>
        </w:tc>
        <w:tc>
          <w:tcPr>
            <w:tcW w:type="dxa" w:w="57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Students with low PAJSK scores still have viable scholarship pathways through these two scholarships</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7</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All 10 scholarships include a tags array used by the UI for filtering and display</w:t>
            </w:r>
          </w:p>
        </w:tc>
        <w:tc>
          <w:tcPr>
            <w:tcW w:type="dxa" w:w="5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Tags are searchable in the DELIMa interface — students can filter by keyword (e.g. "GLC", "Bumiputera", "Luar Negara")</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8</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The scholarship database is static (version v3) — no live API connection in current implementation</w:t>
            </w:r>
          </w:p>
        </w:tc>
        <w:tc>
          <w:tcPr>
            <w:tcW w:type="dxa" w:w="57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Future versions could integrate live scholarship portals (JPA, MARA official APIs) to refresh criteria dynamically</w:t>
            </w:r>
          </w:p>
        </w:tc>
      </w:tr>
    </w:tbl>
    <w:p>
      <w:pPr>
        <w:spacing w:line="200"/>
      </w:pPr>
      <w:r>
        <w:t xml:space="preserve"/>
      </w:r>
    </w:p>
    <w:p>
      <w:pPr>
        <w:pBdr>
          <w:bottom w:val="single" w:color="0F2057" w:sz="6" w:space="1"/>
        </w:pBdr>
        <w:spacing w:after="40" w:before="40"/>
      </w:pPr>
      <w:r>
        <w:t xml:space="preserve"/>
      </w:r>
    </w:p>
    <w:p>
      <w:pPr>
        <w:spacing w:after="60" w:before="120"/>
        <w:jc w:val="center"/>
      </w:pPr>
      <w:r>
        <w:rPr>
          <w:rFonts w:ascii="Arial" w:cs="Arial" w:eastAsia="Arial" w:hAnsi="Arial"/>
          <w:b w:val="false"/>
          <w:bCs w:val="false"/>
          <w:color w:val="334155"/>
          <w:sz w:val="19"/>
          <w:szCs w:val="19"/>
        </w:rPr>
        <w:t xml:space="preserve">End of Report — Scholarship Database Technical Documentation  |  PRESTIJ, DELIMa KPM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6" w:space="1"/>
      </w:pBdr>
      <w:tabs>
        <w:tab w:val="right" w:pos="9026"/>
      </w:tabs>
      <w:spacing w:after="0" w:before="80"/>
    </w:pPr>
    <w:r>
      <w:rPr>
        <w:rFonts w:ascii="Arial" w:cs="Arial" w:eastAsia="Arial" w:hAnsi="Arial"/>
        <w:color w:val="334155"/>
        <w:sz w:val="17"/>
        <w:szCs w:val="17"/>
      </w:rPr>
      <w:t xml:space="preserve">For internal academic and system use only</w:t>
    </w:r>
    <w:r>
      <w:rPr>
        <w:rFonts w:ascii="Arial" w:cs="Arial" w:eastAsia="Arial" w:hAnsi="Arial"/>
        <w:color w:val="334155"/>
        <w:sz w:val="17"/>
        <w:szCs w:val="17"/>
      </w:rPr>
      <w:t xml:space="preserve">	Page </w:t>
    </w:r>
    <w:r>
      <w:rPr>
        <w:rFonts w:ascii="Arial" w:cs="Arial" w:eastAsia="Arial" w:hAnsi="Arial"/>
        <w:color w:val="0F2057"/>
        <w:sz w:val="17"/>
        <w:szCs w:val="17"/>
      </w:rPr>
      <w:fldChar w:fldCharType="begin"/>
      <w:instrText xml:space="preserve">PAGE</w:instrText>
      <w:fldChar w:fldCharType="separate"/>
      <w:fldChar w:fldCharType="end"/>
    </w:r>
    <w:r>
      <w:rPr>
        <w:rFonts w:ascii="Arial" w:cs="Arial" w:eastAsia="Arial" w:hAnsi="Arial"/>
        <w:color w:val="334155"/>
        <w:sz w:val="17"/>
        <w:szCs w:val="17"/>
      </w:rPr>
      <w:t xml:space="preserve"> of </w:t>
    </w:r>
    <w:r>
      <w:rPr>
        <w:rFonts w:ascii="Arial" w:cs="Arial" w:eastAsia="Arial" w:hAnsi="Arial"/>
        <w:color w:val="0F205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6" w:space="1"/>
      </w:pBdr>
      <w:tabs>
        <w:tab w:val="right" w:pos="9026"/>
      </w:tabs>
      <w:spacing w:after="100" w:before="0"/>
    </w:pPr>
    <w:r>
      <w:rPr>
        <w:rFonts w:ascii="Arial" w:cs="Arial" w:eastAsia="Arial" w:hAnsi="Arial"/>
        <w:color w:val="0F2057"/>
        <w:sz w:val="17"/>
        <w:szCs w:val="17"/>
      </w:rPr>
      <w:t xml:space="preserve">Scholarship Database Technical Documentation  |  PRESTIJ</w:t>
    </w:r>
    <w:r>
      <w:rPr>
        <w:rFonts w:ascii="Arial" w:cs="Arial" w:eastAsia="Arial" w:hAnsi="Arial"/>
        <w:color w:val="334155"/>
        <w:sz w:val="17"/>
        <w:szCs w:val="17"/>
      </w:rPr>
      <w:t xml:space="preserve">	SBP Integrasi Kuantan  ·  DELIMa KPM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5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2026-06-25T22:00:21.907Z</dcterms:created>
  <dcterms:modified xsi:type="dcterms:W3CDTF">2026-06-25T22:00:21.908Z</dcterms:modified>
</cp:coreProperties>
</file>

<file path=docProps/custom.xml><?xml version="1.0" encoding="utf-8"?>
<Properties xmlns="http://schemas.openxmlformats.org/officeDocument/2006/custom-properties" xmlns:vt="http://schemas.openxmlformats.org/officeDocument/2006/docPropsVTypes"/>
</file>