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1600"/>
      </w:pPr>
      <w:r>
        <w:t xml:space="preserve"/>
      </w:r>
    </w:p>
    <w:p>
      <w:pPr>
        <w:pBdr>
          <w:bottom w:val="single" w:color="0F2057" w:sz="8" w:space="1"/>
        </w:pBdr>
        <w:spacing w:after="200" w:before="0"/>
        <w:jc w:val="center"/>
      </w:pPr>
      <w:r>
        <w:rPr>
          <w:rFonts w:ascii="Arial" w:cs="Arial" w:eastAsia="Arial" w:hAnsi="Arial"/>
          <w:b/>
          <w:bCs/>
          <w:caps/>
          <w:color w:val="0F2057"/>
          <w:sz w:val="22"/>
          <w:szCs w:val="22"/>
        </w:rPr>
        <w:t xml:space="preserve">KEMENTERIAN PENDIDIKAN MALAYSIA</w:t>
      </w:r>
    </w:p>
    <w:p>
      <w:pPr>
        <w:spacing w:after="80" w:before="0"/>
        <w:jc w:val="center"/>
      </w:pPr>
      <w:r>
        <w:rPr>
          <w:rFonts w:ascii="Arial" w:cs="Arial" w:eastAsia="Arial" w:hAnsi="Arial"/>
          <w:color w:val="1A56DB"/>
          <w:sz w:val="20"/>
          <w:szCs w:val="20"/>
        </w:rPr>
        <w:t xml:space="preserve">DELIMa Platform  ·  PRESTIJ Programme</w:t>
      </w:r>
    </w:p>
    <w:p>
      <w:pPr>
        <w:spacing w:line="600"/>
      </w:pPr>
      <w:r>
        <w:t xml:space="preserve"/>
      </w:r>
    </w:p>
    <w:p>
      <w:pPr>
        <w:shd w:fill="0F2057" w:val="clear"/>
        <w:spacing w:after="0" w:before="160"/>
        <w:jc w:val="center"/>
      </w:pPr>
      <w:r>
        <w:rPr>
          <w:rFonts w:ascii="Arial" w:cs="Arial" w:eastAsia="Arial" w:hAnsi="Arial"/>
          <w:b/>
          <w:bCs/>
          <w:caps/>
          <w:color w:val="FFFFFF"/>
          <w:sz w:val="52"/>
          <w:szCs w:val="52"/>
        </w:rPr>
        <w:t xml:space="preserve">STUDENT DATASET</w:t>
      </w:r>
    </w:p>
    <w:p>
      <w:pPr>
        <w:shd w:fill="1A56DB" w:val="clear"/>
        <w:spacing w:after="0" w:before="0"/>
        <w:jc w:val="center"/>
      </w:pPr>
      <w:r>
        <w:rPr>
          <w:rFonts w:ascii="Arial" w:cs="Arial" w:eastAsia="Arial" w:hAnsi="Arial"/>
          <w:b/>
          <w:bCs/>
          <w:color w:val="FFFFFF"/>
          <w:sz w:val="30"/>
          <w:szCs w:val="30"/>
        </w:rPr>
        <w:t xml:space="preserve">Technical Report</w:t>
      </w:r>
    </w:p>
    <w:p>
      <w:pPr>
        <w:shd w:fill="0E7490" w:val="clear"/>
        <w:spacing w:after="200" w:before="0"/>
        <w:jc w:val="center"/>
      </w:pPr>
      <w:r>
        <w:rPr>
          <w:rFonts w:ascii="Arial" w:cs="Arial" w:eastAsia="Arial" w:hAnsi="Arial"/>
          <w:color w:val="FFFFFF"/>
          <w:sz w:val="22"/>
          <w:szCs w:val="22"/>
        </w:rPr>
        <w:t xml:space="preserve">Agentic AI-Powered Scholarship Matching System</w:t>
      </w:r>
    </w:p>
    <w:p>
      <w:pPr>
        <w:pBdr>
          <w:bottom w:val="single" w:color="0F2057" w:sz="6" w:space="1"/>
        </w:pBdr>
        <w:spacing w:after="40" w:before="40"/>
      </w:pPr>
      <w:r>
        <w:t xml:space="preserve"/>
      </w:r>
    </w:p>
    <w:p>
      <w:pPr>
        <w:spacing w:lin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School</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SBP Integrasi Kuantan, Pahang</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Class</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Kelas Ibnu Khaldun</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Session</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2025 / 2026</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Total Records</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50 students (SBP5IK001 – SBP5IK050)</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Data Dimensions</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5 datasets — Academic, Co-curricular, Psychometric, Income, Scholarship</w:t>
            </w:r>
          </w:p>
        </w:tc>
      </w:tr>
      <w:tr>
        <w:tc>
          <w:tcPr>
            <w:tcW w:type="dxa" w:w="4873"/>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19"/>
                <w:szCs w:val="19"/>
              </w:rPr>
              <w:t xml:space="preserve">Report Version</w:t>
            </w:r>
          </w:p>
        </w:tc>
        <w:tc>
          <w:tcPr>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v1.0  (June 2026)</w:t>
            </w:r>
          </w:p>
        </w:tc>
      </w:tr>
      <w:tr>
        <w:tc>
          <w:tcPr>
            <w:tcW w:type="dxa" w:w="4873"/>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19"/>
                <w:szCs w:val="19"/>
              </w:rPr>
              <w:t xml:space="preserve">Security</w:t>
            </w:r>
          </w:p>
        </w:tc>
        <w:tc>
          <w:tcPr>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B45309"/>
                <w:sz w:val="19"/>
                <w:szCs w:val="19"/>
              </w:rPr>
              <w:t xml:space="preserve">Student passwords (SULIT) are excluded from this report</w:t>
            </w:r>
          </w:p>
        </w:tc>
      </w:tr>
    </w:tbl>
    <w:p>
      <w:r>
        <w:br w:type="page"/>
      </w:r>
    </w:p>
    <w:p>
      <w:pPr>
        <w:pStyle w:val="Heading1"/>
        <w:spacing w:after="160" w:before="320"/>
      </w:pPr>
      <w:bookmarkStart w:name="overview" w:id="1"/>
      <w:r>
        <w:rPr>
          <w:rFonts w:ascii="Arial" w:cs="Arial" w:eastAsia="Arial" w:hAnsi="Arial"/>
          <w:b/>
          <w:bCs/>
          <w:color w:val="0F2057"/>
          <w:sz w:val="32"/>
          <w:szCs w:val="32"/>
        </w:rPr>
        <w:t xml:space="preserve">1.  Dataset Overview</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This report provides a technical analysis of the student dataset used in the Agentic AI-Powered Scholarship Matching System. The dataset covers 50 students from Kelas Ibnu Khaldun at SBP Integrasi Kuantan and is compiled from five distinct Excel source files.</w:t>
      </w:r>
    </w:p>
    <w:p>
      <w:pPr>
        <w:spacing w:line="160"/>
      </w:pPr>
      <w:r>
        <w:t xml:space="preserve"/>
      </w:r>
    </w:p>
    <w:p>
      <w:pPr>
        <w:pStyle w:val="Heading2"/>
        <w:spacing w:after="120" w:before="220"/>
      </w:pPr>
      <w:r>
        <w:rPr>
          <w:rFonts w:ascii="Arial" w:cs="Arial" w:eastAsia="Arial" w:hAnsi="Arial"/>
          <w:b/>
          <w:bCs/>
          <w:color w:val="1A56DB"/>
          <w:sz w:val="26"/>
          <w:szCs w:val="26"/>
        </w:rPr>
        <w:t xml:space="preserve">1.1  Source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00"/>
        <w:gridCol w:w="1200"/>
        <w:gridCol w:w="2546"/>
      </w:tblGrid>
      <w:tr>
        <w:tc>
          <w:tcPr>
            <w:tcW w:type="dxa" w:w="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Dataset</w:t>
            </w:r>
          </w:p>
        </w:tc>
        <w:tc>
          <w:tcPr>
            <w:tcW w:type="dxa" w:w="3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File</w:t>
            </w:r>
          </w:p>
        </w:tc>
        <w:tc>
          <w:tcPr>
            <w:tcW w:type="dxa" w:w="1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Records</w:t>
            </w:r>
          </w:p>
        </w:tc>
        <w:tc>
          <w:tcPr>
            <w:tcW w:type="dxa" w:w="2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Fields Extracted</w:t>
            </w:r>
          </w:p>
        </w:tc>
      </w:tr>
      <w:tr>
        <w:tc>
          <w:tcPr>
            <w:tcW w:type="dxa" w:w="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SPM Results</w:t>
            </w:r>
          </w:p>
        </w:tc>
        <w:tc>
          <w:tcPr>
            <w:tcW w:type="dxa" w:w="3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Peperiksaan_SPM_IbnuKhaldun_DUMMY_v4.xlsx</w:t>
            </w:r>
          </w:p>
        </w:tc>
        <w:tc>
          <w:tcPr>
            <w:tcW w:type="dxa" w:w="1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w:t>
            </w:r>
          </w:p>
        </w:tc>
        <w:tc>
          <w:tcPr>
            <w:tcW w:type="dxa" w:w="2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Student ID, password, gender, 9 SPM grades</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Co-curricular</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DATA_PAJSK_5IK_DUMMY_v3.xlsx</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w:t>
            </w:r>
          </w:p>
        </w:tc>
        <w:tc>
          <w:tcPr>
            <w:tcW w:type="dxa" w:w="2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Markah (max 110), activities, pencapaian</w:t>
            </w:r>
          </w:p>
        </w:tc>
      </w:tr>
      <w:tr>
        <w:tc>
          <w:tcPr>
            <w:tcW w:type="dxa" w:w="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(IMK)</w:t>
            </w:r>
          </w:p>
        </w:tc>
        <w:tc>
          <w:tcPr>
            <w:tcW w:type="dxa" w:w="3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IMK_IbnuKhaldun_DUMMY_v3.xlsx</w:t>
            </w:r>
          </w:p>
        </w:tc>
        <w:tc>
          <w:tcPr>
            <w:tcW w:type="dxa" w:w="1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w:t>
            </w:r>
          </w:p>
        </w:tc>
        <w:tc>
          <w:tcPr>
            <w:tcW w:type="dxa" w:w="2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RIASEC scores (R, I, A, S, E, K)</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Family Income</w:t>
            </w:r>
          </w:p>
        </w:tc>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Income_Penjaga_5IK_DUMMY_v1.xlsx</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w:t>
            </w:r>
          </w:p>
        </w:tc>
        <w:tc>
          <w:tcPr>
            <w:tcW w:type="dxa" w:w="2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Per-capita income → B40 / M40 / T20</w:t>
            </w:r>
          </w:p>
        </w:tc>
      </w:tr>
      <w:tr>
        <w:tc>
          <w:tcPr>
            <w:tcW w:type="dxa" w:w="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2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Scholarship Database</w:t>
            </w:r>
          </w:p>
        </w:tc>
        <w:tc>
          <w:tcPr>
            <w:tcW w:type="dxa" w:w="3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7"/>
                <w:szCs w:val="17"/>
              </w:rPr>
              <w:t xml:space="preserve">Dataset_Biasiswa_PRESTIJ_v3.xlsx</w:t>
            </w:r>
          </w:p>
        </w:tc>
        <w:tc>
          <w:tcPr>
            <w:tcW w:type="dxa" w:w="12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10</w:t>
            </w:r>
          </w:p>
        </w:tc>
        <w:tc>
          <w:tcPr>
            <w:tcW w:type="dxa" w:w="2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Scholarship criteria, RIASEC preference, GP threshold</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1.2  Data Schema — StudentProfile Object</w:t>
      </w:r>
    </w:p>
    <w:p>
      <w:pPr>
        <w:spacing w:after="60" w:before="60"/>
        <w:jc w:val="left"/>
      </w:pPr>
      <w:r>
        <w:rPr>
          <w:rFonts w:ascii="Arial" w:cs="Arial" w:eastAsia="Arial" w:hAnsi="Arial"/>
          <w:b w:val="false"/>
          <w:bCs w:val="false"/>
          <w:color w:val="334155"/>
          <w:sz w:val="21"/>
          <w:szCs w:val="21"/>
        </w:rPr>
        <w:t xml:space="preserve">After processing, each student is represented as a single TypeScript object (StudentProfile) with the following fields:</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346"/>
      </w:tblGrid>
      <w:tr>
        <w:tc>
          <w:tcPr>
            <w:tcW w:type="dxa" w:w="2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w:t>
            </w:r>
          </w:p>
        </w:tc>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Type</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Source Dataset</w:t>
            </w:r>
          </w:p>
        </w:tc>
        <w:tc>
          <w:tcPr>
            <w:tcW w:type="dxa" w:w="43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Description</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id</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v4</w:t>
            </w:r>
          </w:p>
        </w:tc>
        <w:tc>
          <w:tcPr>
            <w:tcW w:type="dxa" w:w="4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Unique student identifier (SBP5IK001–SBP5IK050)</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name</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v4</w:t>
            </w:r>
          </w:p>
        </w:tc>
        <w:tc>
          <w:tcPr>
            <w:tcW w:type="dxa" w:w="4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Full name in uppercase</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gender</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 | "P"</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v4</w:t>
            </w:r>
          </w:p>
        </w:tc>
        <w:tc>
          <w:tcPr>
            <w:tcW w:type="dxa" w:w="4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Lelaki or Perempuan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spmGrades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Record&lt;string, string&gt;</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SPM v4</w:t>
            </w:r>
          </w:p>
        </w:tc>
        <w:tc>
          <w:tcPr>
            <w:tcW w:type="dxa" w:w="4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Dictionary of 9 subjects → SPM grade (A+ to G)</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gpScore</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Calculated</w:t>
            </w:r>
          </w:p>
        </w:tc>
        <w:tc>
          <w:tcPr>
            <w:tcW w:type="dxa" w:w="4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Average grade point across all 9 subjects (0.0–10.0)</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pajskScore</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number</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 v3</w:t>
            </w:r>
          </w:p>
        </w:tc>
        <w:tc>
          <w:tcPr>
            <w:tcW w:type="dxa" w:w="4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Co-curricular percentage: (markah ÷ 110) × 100</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leadershipLevel</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"High"|"Medium"|"Basic"</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Calculated</w:t>
            </w:r>
          </w:p>
        </w:tc>
        <w:tc>
          <w:tcPr>
            <w:tcW w:type="dxa" w:w="4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Derived from pajskScore: ≥85%=High, ≥70%=Medium, &lt;70%=Basic</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riasecType</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IMK v3</w:t>
            </w:r>
          </w:p>
        </w:tc>
        <w:tc>
          <w:tcPr>
            <w:tcW w:type="dxa" w:w="4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Top-3 Holland Code types sorted by score descending</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fieldOfInterest</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Calculated</w:t>
            </w:r>
          </w:p>
        </w:tc>
        <w:tc>
          <w:tcPr>
            <w:tcW w:type="dxa" w:w="4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Career field mapped from top RIASEC code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dreamCareer</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Calculated</w:t>
            </w:r>
          </w:p>
        </w:tc>
        <w:tc>
          <w:tcPr>
            <w:tcW w:type="dxa" w:w="4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Career suggestion mapped from top RIASEC code</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parentCategory</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"B40"|"M40"|"T20"</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Income v1</w:t>
            </w:r>
          </w:p>
        </w:tc>
        <w:tc>
          <w:tcPr>
            <w:tcW w:type="dxa" w:w="4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Income group based on per-capita monthly income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keyAchievements</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string[]</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 v3</w:t>
            </w:r>
          </w:p>
        </w:tc>
        <w:tc>
          <w:tcPr>
            <w:tcW w:type="dxa" w:w="43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Notable achievements from co-curricular data</w:t>
            </w:r>
          </w:p>
        </w:tc>
      </w:tr>
      <w:tr>
        <w:tc>
          <w:tcPr>
            <w:tcW w:type="dxa" w:w="2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pajskData</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PajskData object</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PAJSK v3</w:t>
            </w:r>
          </w:p>
        </w:tc>
        <w:tc>
          <w:tcPr>
            <w:tcW w:type="dxa" w:w="43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Full PAJSK record: sukan, kelab, badan beruniform, markah, jawatan, peringkat</w:t>
            </w:r>
          </w:p>
        </w:tc>
      </w:tr>
    </w:tbl>
    <w:p>
      <w:r>
        <w:br w:type="page"/>
      </w:r>
    </w:p>
    <w:p>
      <w:pPr>
        <w:pStyle w:val="Heading1"/>
        <w:spacing w:after="160" w:before="320"/>
      </w:pPr>
      <w:bookmarkStart w:name="demographics" w:id="1"/>
      <w:r>
        <w:rPr>
          <w:rFonts w:ascii="Arial" w:cs="Arial" w:eastAsia="Arial" w:hAnsi="Arial"/>
          <w:b/>
          <w:bCs/>
          <w:color w:val="0F2057"/>
          <w:sz w:val="32"/>
          <w:szCs w:val="32"/>
        </w:rPr>
        <w:t xml:space="preserve">2.  Student Demographics</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The following section presents the demographic composition of the 50 students in the dataset across three dimensions: gender, family income category, and data source.</w:t>
      </w:r>
    </w:p>
    <w:p>
      <w:pPr>
        <w:spacing w:line="160"/>
      </w:pPr>
      <w:r>
        <w:t xml:space="preserve"/>
      </w:r>
    </w:p>
    <w:p>
      <w:pPr>
        <w:pStyle w:val="Heading2"/>
        <w:spacing w:after="120" w:before="220"/>
      </w:pPr>
      <w:r>
        <w:rPr>
          <w:rFonts w:ascii="Arial" w:cs="Arial" w:eastAsia="Arial" w:hAnsi="Arial"/>
          <w:b/>
          <w:bCs/>
          <w:color w:val="1A56DB"/>
          <w:sz w:val="26"/>
          <w:szCs w:val="26"/>
        </w:rPr>
        <w:t xml:space="preserve">2.1  Gender Distribution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546"/>
      </w:tblGrid>
      <w:tr>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Gender</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Count</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Percentage</w:t>
            </w:r>
          </w:p>
        </w:tc>
        <w:tc>
          <w:tcPr>
            <w:tcW w:type="dxa" w:w="4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Male (Lelaki)</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22</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44%</w:t>
            </w:r>
          </w:p>
        </w:tc>
        <w:tc>
          <w:tcPr>
            <w:tcW w:type="dxa" w:w="4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Female (Perempuan)</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28</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56%</w:t>
            </w:r>
          </w:p>
        </w:tc>
        <w:tc>
          <w:tcPr>
            <w:tcW w:type="dxa" w:w="4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r>
        <w:tc>
          <w:tcPr>
            <w:tcW w:type="dxa" w:w="2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Total</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50</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100%</w:t>
            </w:r>
          </w:p>
        </w:tc>
        <w:tc>
          <w:tcPr>
            <w:tcW w:type="dxa" w:w="45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2.2  Family Income Category Distribution</w:t>
      </w:r>
    </w:p>
    <w:p>
      <w:pPr>
        <w:spacing w:after="60" w:before="60"/>
        <w:jc w:val="left"/>
      </w:pPr>
      <w:r>
        <w:rPr>
          <w:rFonts w:ascii="Arial" w:cs="Arial" w:eastAsia="Arial" w:hAnsi="Arial"/>
          <w:b w:val="false"/>
          <w:bCs w:val="false"/>
          <w:color w:val="334155"/>
          <w:sz w:val="21"/>
          <w:szCs w:val="21"/>
        </w:rPr>
        <w:t xml:space="preserve">Students are classified into three national income groups based on their household per-capita monthly income. B40 is the bottom 40%, M40 the middle 40%, and T20 the top 20%.</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3146"/>
      </w:tblGrid>
      <w:tr>
        <w:tc>
          <w:tcPr>
            <w:tcW w:type="dxa" w:w="2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Category</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Count</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1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Per-Capita Income (RM/month)</w:t>
            </w:r>
          </w:p>
        </w:tc>
        <w:tc>
          <w:tcPr>
            <w:tcW w:type="dxa" w:w="31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 Priority</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B40 — Bottom 40%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27</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54%</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Below RM 1,500</w:t>
            </w:r>
          </w:p>
        </w:tc>
        <w:tc>
          <w:tcPr>
            <w:tcW w:type="dxa" w:w="3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Highest — eligible for all need-based scholarships</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M40 — Middle 40%</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13</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26%</w:t>
            </w:r>
          </w:p>
        </w:tc>
        <w:tc>
          <w:tcPr>
            <w:tcW w:type="dxa" w:w="1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RM 1,500 – RM 4,999</w:t>
            </w:r>
          </w:p>
        </w:tc>
        <w:tc>
          <w:tcPr>
            <w:tcW w:type="dxa" w:w="3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Moderate — eligible for most scholarships</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A56DB"/>
                <w:sz w:val="20"/>
                <w:szCs w:val="20"/>
              </w:rPr>
              <w:t xml:space="preserve">T20 — Top 20%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10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20%</w:t>
            </w:r>
          </w:p>
        </w:tc>
        <w:tc>
          <w:tcPr>
            <w:tcW w:type="dxa" w:w="1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RM 5,000 and above</w:t>
            </w:r>
          </w:p>
        </w:tc>
        <w:tc>
          <w:tcPr>
            <w:tcW w:type="dxa" w:w="3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Merit-based scholarships only</w:t>
            </w:r>
          </w:p>
        </w:tc>
      </w:tr>
      <w:tr>
        <w:tc>
          <w:tcPr>
            <w:tcW w:type="dxa" w:w="20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Total</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50</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100%</w:t>
            </w:r>
          </w:p>
        </w:tc>
        <w:tc>
          <w:tcPr>
            <w:tcW w:type="dxa" w:w="18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31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54% of students (27 out of 50) are from B40 households — the majority. This means the system will prioritise need-based and government-backed scholarships for more than half the class.</w:t>
            </w:r>
          </w:p>
        </w:tc>
      </w:tr>
    </w:tbl>
    <w:p>
      <w:r>
        <w:br w:type="page"/>
      </w:r>
    </w:p>
    <w:p>
      <w:pPr>
        <w:pStyle w:val="Heading1"/>
        <w:spacing w:after="160" w:before="320"/>
      </w:pPr>
      <w:bookmarkStart w:name="academic" w:id="1"/>
      <w:r>
        <w:rPr>
          <w:rFonts w:ascii="Arial" w:cs="Arial" w:eastAsia="Arial" w:hAnsi="Arial"/>
          <w:b/>
          <w:bCs/>
          <w:color w:val="0F2057"/>
          <w:sz w:val="32"/>
          <w:szCs w:val="32"/>
        </w:rPr>
        <w:t xml:space="preserve">3.  Academic Performance Analysis</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Academic performance is measured by SPM grades across 9 subjects. The system converts each grade to a numerical grade point (A+=10, G=1) and calculates a GP Score per student. This dimension carries the highest weight (35%) in the scholarship matching formula.</w:t>
      </w:r>
    </w:p>
    <w:p>
      <w:pPr>
        <w:spacing w:line="160"/>
      </w:pPr>
      <w:r>
        <w:t xml:space="preserve"/>
      </w:r>
    </w:p>
    <w:p>
      <w:pPr>
        <w:pStyle w:val="Heading2"/>
        <w:spacing w:after="120" w:before="220"/>
      </w:pPr>
      <w:r>
        <w:rPr>
          <w:rFonts w:ascii="Arial" w:cs="Arial" w:eastAsia="Arial" w:hAnsi="Arial"/>
          <w:b/>
          <w:bCs/>
          <w:color w:val="1A56DB"/>
          <w:sz w:val="26"/>
          <w:szCs w:val="26"/>
        </w:rPr>
        <w:t xml:space="preserve">3.1  GP Score Distribution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546"/>
      </w:tblGrid>
      <w:tr>
        <w:tc>
          <w:tcPr>
            <w:tcW w:type="dxa" w:w="2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Metric</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Value</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
            </w:r>
          </w:p>
        </w:tc>
        <w:tc>
          <w:tcPr>
            <w:tcW w:type="dxa" w:w="4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Interpretation</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Class Average GP Score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6.39</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4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Equivalent to approximately B+ average across all subjects</w:t>
            </w:r>
          </w:p>
        </w:tc>
      </w:tr>
      <w:tr>
        <w:tc>
          <w:tcPr>
            <w:tcW w:type="dxa" w:w="2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Highest GP Score</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10.00</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4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2 students achieved perfect A+ in all 9 subjects</w:t>
            </w:r>
          </w:p>
        </w:tc>
      </w:tr>
      <w:tr>
        <w:tc>
          <w:tcPr>
            <w:tcW w:type="dxa" w:w="2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Lowest GP Score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3.11</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c>
          <w:tcPr>
            <w:tcW w:type="dxa" w:w="4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Mix of passes and failures — still active in the system</w:t>
            </w:r>
          </w:p>
        </w:tc>
      </w:tr>
    </w:tbl>
    <w:p>
      <w:pPr>
        <w:spacing w:line="120"/>
      </w:pPr>
      <w:r>
        <w:t xml:space="preserve"/>
      </w:r>
    </w:p>
    <w:p>
      <w:pPr>
        <w:spacing w:after="60" w:before="80"/>
        <w:jc w:val="left"/>
      </w:pPr>
      <w:r>
        <w:rPr>
          <w:rFonts w:ascii="Arial" w:cs="Arial" w:eastAsia="Arial" w:hAnsi="Arial"/>
          <w:b/>
          <w:bCs/>
          <w:color w:val="334155"/>
          <w:sz w:val="21"/>
          <w:szCs w:val="21"/>
        </w:rPr>
        <w:t xml:space="preserve">GP Score Bands (number of students per range):</w:t>
      </w:r>
    </w:p>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346"/>
        <w:gridCol w:w="600"/>
      </w:tblGrid>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GP 0.0 – 2.0  (Weak)</w:t>
            </w:r>
          </w:p>
        </w:tc>
        <w:tc>
          <w:tcPr>
            <w:tcW w:type="dxa" w:w="6346"/>
            <w:tcBorders>
              <w:top w:val="single" w:color="E2E8F0" w:sz="3"/>
              <w:left w:val="single" w:color="E2E8F0" w:sz="3"/>
              <w:bottom w:val="single" w:color="E2E8F0" w:sz="3"/>
              <w:right w:val="single" w:color="E2E8F0" w:sz="3"/>
            </w:tcBorders>
            <w:shd w:fill="FFFFFF"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1"/>
              <w:gridCol w:w="6346"/>
            </w:tblGrid>
            <w:tr>
              <w:tc>
                <w:tcPr>
                  <w:tcW w:type="dxa" w:w="1"/>
                  <w:tcBorders>
                    <w:top w:val="none"/>
                    <w:left w:val="none"/>
                    <w:bottom w:val="none"/>
                    <w:right w:val="none"/>
                  </w:tcBorders>
                  <w:shd w:fill="94A3B8" w:val="clear"/>
                </w:tcPr>
                <w:p>
                  <w:pPr>
                    <w:spacing w:after="0" w:before="0"/>
                  </w:pPr>
                  <w:r>
                    <w:rPr>
                      <w:sz w:val="12"/>
                      <w:szCs w:val="12"/>
                    </w:rPr>
                    <w:t xml:space="preserve"> </w:t>
                  </w:r>
                </w:p>
              </w:tc>
              <w:tc>
                <w:tcPr>
                  <w:tcW w:type="dxa" w:w="6346"/>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94A3B8"/>
                <w:sz w:val="19"/>
                <w:szCs w:val="19"/>
              </w:rPr>
              <w:t xml:space="preserve">0</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GP 2.1 – 4.0  (Below Average)</w:t>
            </w:r>
          </w:p>
        </w:tc>
        <w:tc>
          <w:tcPr>
            <w:tcW w:type="dxa" w:w="6346"/>
            <w:tcBorders>
              <w:top w:val="single" w:color="E2E8F0" w:sz="3"/>
              <w:left w:val="single" w:color="E2E8F0" w:sz="3"/>
              <w:bottom w:val="single" w:color="E2E8F0" w:sz="3"/>
              <w:right w:val="single" w:color="E2E8F0" w:sz="3"/>
            </w:tcBorders>
            <w:shd w:fill="F1F5F9"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793"/>
              <w:gridCol w:w="5553"/>
            </w:tblGrid>
            <w:tr>
              <w:tc>
                <w:tcPr>
                  <w:tcW w:type="dxa" w:w="793"/>
                  <w:tcBorders>
                    <w:top w:val="none"/>
                    <w:left w:val="none"/>
                    <w:bottom w:val="none"/>
                    <w:right w:val="none"/>
                  </w:tcBorders>
                  <w:shd w:fill="9B1C1C" w:val="clear"/>
                </w:tcPr>
                <w:p>
                  <w:pPr>
                    <w:spacing w:after="0" w:before="0"/>
                  </w:pPr>
                  <w:r>
                    <w:rPr>
                      <w:sz w:val="12"/>
                      <w:szCs w:val="12"/>
                    </w:rPr>
                    <w:t xml:space="preserve"> </w:t>
                  </w:r>
                </w:p>
              </w:tc>
              <w:tc>
                <w:tcPr>
                  <w:tcW w:type="dxa" w:w="5553"/>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9"/>
                <w:szCs w:val="19"/>
              </w:rPr>
              <w:t xml:space="preserve">3</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GP 4.1 – 6.0  (Average)</w:t>
            </w:r>
          </w:p>
        </w:tc>
        <w:tc>
          <w:tcPr>
            <w:tcW w:type="dxa" w:w="6346"/>
            <w:tcBorders>
              <w:top w:val="single" w:color="E2E8F0" w:sz="3"/>
              <w:left w:val="single" w:color="E2E8F0" w:sz="3"/>
              <w:bottom w:val="single" w:color="E2E8F0" w:sz="3"/>
              <w:right w:val="single" w:color="E2E8F0" w:sz="3"/>
            </w:tcBorders>
            <w:shd w:fill="FFFFFF"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6082"/>
              <w:gridCol w:w="264"/>
            </w:tblGrid>
            <w:tr>
              <w:tc>
                <w:tcPr>
                  <w:tcW w:type="dxa" w:w="6082"/>
                  <w:tcBorders>
                    <w:top w:val="none"/>
                    <w:left w:val="none"/>
                    <w:bottom w:val="none"/>
                    <w:right w:val="none"/>
                  </w:tcBorders>
                  <w:shd w:fill="B45309" w:val="clear"/>
                </w:tcPr>
                <w:p>
                  <w:pPr>
                    <w:spacing w:after="0" w:before="0"/>
                  </w:pPr>
                  <w:r>
                    <w:rPr>
                      <w:sz w:val="12"/>
                      <w:szCs w:val="12"/>
                    </w:rPr>
                    <w:t xml:space="preserve"> </w:t>
                  </w:r>
                </w:p>
              </w:tc>
              <w:tc>
                <w:tcPr>
                  <w:tcW w:type="dxa" w:w="264"/>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9"/>
                <w:szCs w:val="19"/>
              </w:rPr>
              <w:t xml:space="preserve">23</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GP 6.1 – 10.0  (Good to Excellent)</w:t>
            </w:r>
          </w:p>
        </w:tc>
        <w:tc>
          <w:tcPr>
            <w:tcW w:type="dxa" w:w="6346"/>
            <w:tcBorders>
              <w:top w:val="single" w:color="E2E8F0" w:sz="3"/>
              <w:left w:val="single" w:color="E2E8F0" w:sz="3"/>
              <w:bottom w:val="single" w:color="E2E8F0" w:sz="3"/>
              <w:right w:val="single" w:color="E2E8F0" w:sz="3"/>
            </w:tcBorders>
            <w:shd w:fill="F1F5F9"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6346"/>
              <w:gridCol w:w="1"/>
            </w:tblGrid>
            <w:tr>
              <w:tc>
                <w:tcPr>
                  <w:tcW w:type="dxa" w:w="6346"/>
                  <w:tcBorders>
                    <w:top w:val="none"/>
                    <w:left w:val="none"/>
                    <w:bottom w:val="none"/>
                    <w:right w:val="none"/>
                  </w:tcBorders>
                  <w:shd w:fill="166534" w:val="clear"/>
                </w:tcPr>
                <w:p>
                  <w:pPr>
                    <w:spacing w:after="0" w:before="0"/>
                  </w:pPr>
                  <w:r>
                    <w:rPr>
                      <w:sz w:val="12"/>
                      <w:szCs w:val="12"/>
                    </w:rPr>
                    <w:t xml:space="preserve"> </w:t>
                  </w:r>
                </w:p>
              </w:tc>
              <w:tc>
                <w:tcPr>
                  <w:tcW w:type="dxa" w:w="1"/>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9"/>
                <w:szCs w:val="19"/>
              </w:rPr>
              <w:t xml:space="preserve">24</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3.2  Average GP Score by Subject</w:t>
      </w:r>
    </w:p>
    <w:p>
      <w:pPr>
        <w:spacing w:after="60" w:before="60"/>
        <w:jc w:val="left"/>
      </w:pPr>
      <w:r>
        <w:rPr>
          <w:rFonts w:ascii="Arial" w:cs="Arial" w:eastAsia="Arial" w:hAnsi="Arial"/>
          <w:b w:val="false"/>
          <w:bCs w:val="false"/>
          <w:color w:val="334155"/>
          <w:sz w:val="21"/>
          <w:szCs w:val="21"/>
        </w:rPr>
        <w:t xml:space="preserve">The table below shows the class average grade point for each of the 9 SPM subjects, ranked from highest to lowest:</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400"/>
        <w:gridCol w:w="5146"/>
      </w:tblGrid>
      <w:tr>
        <w:tc>
          <w:tcPr>
            <w:tcW w:type="dxa" w:w="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Subject</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Class Avg GP</w:t>
            </w:r>
          </w:p>
        </w:tc>
        <w:tc>
          <w:tcPr>
            <w:tcW w:type="dxa" w:w="51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Observation</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Kimia (Chemistry)</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7.04</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Strongest subject — highest average, many students scored A/A+</w:t>
            </w:r>
          </w:p>
        </w:tc>
      </w:tr>
      <w:tr>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Fizik (Physics)</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6.54</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Second strongest — science strand performing well</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Biologi (Biology)</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6.48</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Consistent with science stream results</w:t>
            </w:r>
          </w:p>
        </w:tc>
      </w:tr>
      <w:tr>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Pendidikan Agama Islam</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6.42</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Strong performance across the class</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Matematik Tambahan</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6.26</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Additional Maths — good average despite difficulty</w:t>
            </w:r>
          </w:p>
        </w:tc>
      </w:tr>
      <w:tr>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6</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Bahasa Inggeris</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6.24</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English — room for improvement compared to science subjects</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7</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Bahasa Melayu</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6.22</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Malay language — similar pattern to English</w:t>
            </w:r>
          </w:p>
        </w:tc>
      </w:tr>
      <w:tr>
        <w:tc>
          <w:tcPr>
            <w:tcW w:type="dxa" w:w="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8</w:t>
            </w:r>
          </w:p>
        </w:tc>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Matematik</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6.18</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Core Maths — consistent but slightly below science subjects</w:t>
            </w:r>
          </w:p>
        </w:tc>
      </w:tr>
      <w:tr>
        <w:tc>
          <w:tcPr>
            <w:tcW w:type="dxa" w:w="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9</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Sejarah (History)</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6.14</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8"/>
                <w:szCs w:val="18"/>
              </w:rPr>
              <w:t xml:space="preserve">Lowest average — notable variation across students</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3.3  Overall Grade Distribution (All 9 Subjects × 50 Students = 450 grades)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400"/>
        <w:gridCol w:w="6746"/>
      </w:tblGrid>
      <w:tr>
        <w:tc>
          <w:tcPr>
            <w:tcW w:type="dxa" w:w="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Grade</w:t>
            </w:r>
          </w:p>
        </w:tc>
        <w:tc>
          <w:tcPr>
            <w:tcW w:type="dxa" w:w="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Count</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 of Total</w:t>
            </w:r>
          </w:p>
        </w:tc>
        <w:tc>
          <w:tcPr>
            <w:tcW w:type="dxa" w:w="67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Grade Point</w:t>
            </w:r>
          </w:p>
        </w:tc>
      </w:tr>
      <w:tr>
        <w:tc>
          <w:tcPr>
            <w:tcW w:type="dxa" w:w="8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81</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18.0%</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w:t>
            </w:r>
          </w:p>
        </w:tc>
      </w:tr>
      <w:tr>
        <w:tc>
          <w:tcPr>
            <w:tcW w:type="dxa" w:w="8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60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13.3%</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9</w:t>
            </w:r>
          </w:p>
        </w:tc>
      </w:tr>
      <w:tr>
        <w:tc>
          <w:tcPr>
            <w:tcW w:type="dxa" w:w="8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A-</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39</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8.7%</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8</w:t>
            </w:r>
          </w:p>
        </w:tc>
      </w:tr>
      <w:tr>
        <w:tc>
          <w:tcPr>
            <w:tcW w:type="dxa" w:w="8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B+</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48</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10.7%</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7</w:t>
            </w:r>
          </w:p>
        </w:tc>
      </w:tr>
      <w:tr>
        <w:tc>
          <w:tcPr>
            <w:tcW w:type="dxa" w:w="8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B</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46</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10.2%</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6</w:t>
            </w:r>
          </w:p>
        </w:tc>
      </w:tr>
      <w:tr>
        <w:tc>
          <w:tcPr>
            <w:tcW w:type="dxa" w:w="8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C+</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11.1%</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5</w:t>
            </w:r>
          </w:p>
        </w:tc>
      </w:tr>
      <w:tr>
        <w:tc>
          <w:tcPr>
            <w:tcW w:type="dxa" w:w="800"/>
            <w:gridSpan w:val="1"/>
            <w:tcBorders>
              <w:top w:val="single" w:color="E2E8F0" w:sz="4"/>
              <w:left w:val="single" w:color="E2E8F0" w:sz="4"/>
              <w:bottom w:val="single" w:color="E2E8F0" w:sz="4"/>
              <w:right w:val="single" w:color="E2E8F0" w:sz="4"/>
            </w:tcBorders>
            <w:shd w:fill="FFFBEB"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C</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42</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9.3%</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4</w:t>
            </w:r>
          </w:p>
        </w:tc>
      </w:tr>
      <w:tr>
        <w:tc>
          <w:tcPr>
            <w:tcW w:type="dxa" w:w="8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D</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33</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7.3%</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3</w:t>
            </w:r>
          </w:p>
        </w:tc>
      </w:tr>
      <w:tr>
        <w:tc>
          <w:tcPr>
            <w:tcW w:type="dxa" w:w="8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E</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34</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7.6%</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2</w:t>
            </w:r>
          </w:p>
        </w:tc>
      </w:tr>
      <w:tr>
        <w:tc>
          <w:tcPr>
            <w:tcW w:type="dxa" w:w="800"/>
            <w:gridSpan w:val="1"/>
            <w:tcBorders>
              <w:top w:val="single" w:color="E2E8F0" w:sz="4"/>
              <w:left w:val="single" w:color="E2E8F0" w:sz="4"/>
              <w:bottom w:val="single" w:color="E2E8F0" w:sz="4"/>
              <w:right w:val="single" w:color="E2E8F0" w:sz="4"/>
            </w:tcBorders>
            <w:shd w:fill="FEF2F2"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G</w:t>
            </w:r>
          </w:p>
        </w:tc>
        <w:tc>
          <w:tcPr>
            <w:tcW w:type="dxa" w:w="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17</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3.8%</w:t>
            </w:r>
          </w:p>
        </w:tc>
        <w:tc>
          <w:tcPr>
            <w:tcW w:type="dxa" w:w="67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A-grade (A+, A, A-) collectively account for 180 out of 450 grades = 40.0% of all grades. Combined with B-grades (94 grades = 20.9%), over 60% of all grades fall in the B range or above.</w:t>
            </w:r>
          </w:p>
        </w:tc>
      </w:tr>
    </w:tbl>
    <w:p>
      <w:r>
        <w:br w:type="page"/>
      </w:r>
    </w:p>
    <w:p>
      <w:pPr>
        <w:pStyle w:val="Heading1"/>
        <w:spacing w:after="160" w:before="320"/>
      </w:pPr>
      <w:bookmarkStart w:name="pajsk" w:id="1"/>
      <w:r>
        <w:rPr>
          <w:rFonts w:ascii="Arial" w:cs="Arial" w:eastAsia="Arial" w:hAnsi="Arial"/>
          <w:b/>
          <w:bCs/>
          <w:color w:val="0F2057"/>
          <w:sz w:val="32"/>
          <w:szCs w:val="32"/>
        </w:rPr>
        <w:t xml:space="preserve">4.  Co-Curricular Performance (PAJSK)</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PAJSK (Penilaian Aktiviti Jasmani, Sukan dan Kokurikulum) measures each student's involvement in three co-curricular categories: sports, clubs, and uniformed bodies. The raw markah (max 110) is converted to a percentage and a leadership level. This dimension carries 20% weight in the matching formula.</w:t>
      </w:r>
    </w:p>
    <w:p>
      <w:pPr>
        <w:spacing w:line="160"/>
      </w:pPr>
      <w:r>
        <w:t xml:space="preserve"/>
      </w:r>
    </w:p>
    <w:p>
      <w:pPr>
        <w:pStyle w:val="Heading2"/>
        <w:spacing w:after="120" w:before="220"/>
      </w:pPr>
      <w:r>
        <w:rPr>
          <w:rFonts w:ascii="Arial" w:cs="Arial" w:eastAsia="Arial" w:hAnsi="Arial"/>
          <w:b/>
          <w:bCs/>
          <w:color w:val="1A56DB"/>
          <w:sz w:val="26"/>
          <w:szCs w:val="26"/>
        </w:rPr>
        <w:t xml:space="preserve">4.1  PAJSK Score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546"/>
      </w:tblGrid>
      <w:tr>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Metric</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Value</w:t>
            </w:r>
          </w:p>
        </w:tc>
        <w:tc>
          <w:tcPr>
            <w:tcW w:type="dxa" w:w="5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Context</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Class Average PAJSK Score</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78.3%</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Above the Medium threshold (70%) — strong co-curricular participation</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Highest PAJSK Score</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96.4%</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3 students achieved 96.4% — among the highest possible</w:t>
            </w:r>
          </w:p>
        </w:tc>
      </w:tr>
      <w:tr>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Lowest PAJSK Score</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59.1%</w:t>
            </w:r>
          </w:p>
        </w:tc>
        <w:tc>
          <w:tcPr>
            <w:tcW w:type="dxa" w:w="5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Below 70% threshold — classified as Basic leadership level</w:t>
            </w:r>
          </w:p>
        </w:tc>
      </w:tr>
      <w:tr>
        <w:tc>
          <w:tcPr>
            <w:tcW w:type="dxa" w:w="2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Max Markah (denominator)</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110</w:t>
            </w:r>
          </w:p>
        </w:tc>
        <w:tc>
          <w:tcPr>
            <w:tcW w:type="dxa" w:w="5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Formula: PAJSK% = (markah ÷ 110) × 100</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4.2  Leadership Level Distribution</w:t>
      </w:r>
    </w:p>
    <w:p>
      <w:pPr>
        <w:spacing w:after="60" w:before="60"/>
        <w:jc w:val="left"/>
      </w:pPr>
      <w:r>
        <w:rPr>
          <w:rFonts w:ascii="Arial" w:cs="Arial" w:eastAsia="Arial" w:hAnsi="Arial"/>
          <w:b w:val="false"/>
          <w:bCs w:val="false"/>
          <w:color w:val="334155"/>
          <w:sz w:val="21"/>
          <w:szCs w:val="21"/>
        </w:rPr>
        <w:t xml:space="preserve">Leadership level is a derived field calculated from the PAJSK percentage score:</w:t>
      </w:r>
    </w:p>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346"/>
        <w:gridCol w:w="600"/>
      </w:tblGrid>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High   (≥ 85%)</w:t>
            </w:r>
          </w:p>
        </w:tc>
        <w:tc>
          <w:tcPr>
            <w:tcW w:type="dxa" w:w="6346"/>
            <w:tcBorders>
              <w:top w:val="single" w:color="E2E8F0" w:sz="3"/>
              <w:left w:val="single" w:color="E2E8F0" w:sz="3"/>
              <w:bottom w:val="single" w:color="E2E8F0" w:sz="3"/>
              <w:right w:val="single" w:color="E2E8F0" w:sz="3"/>
            </w:tcBorders>
            <w:shd w:fill="FFFFFF"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2720"/>
              <w:gridCol w:w="3626"/>
            </w:tblGrid>
            <w:tr>
              <w:tc>
                <w:tcPr>
                  <w:tcW w:type="dxa" w:w="2720"/>
                  <w:tcBorders>
                    <w:top w:val="none"/>
                    <w:left w:val="none"/>
                    <w:bottom w:val="none"/>
                    <w:right w:val="none"/>
                  </w:tcBorders>
                  <w:shd w:fill="166534" w:val="clear"/>
                </w:tcPr>
                <w:p>
                  <w:pPr>
                    <w:spacing w:after="0" w:before="0"/>
                  </w:pPr>
                  <w:r>
                    <w:rPr>
                      <w:sz w:val="12"/>
                      <w:szCs w:val="12"/>
                    </w:rPr>
                    <w:t xml:space="preserve"> </w:t>
                  </w:r>
                </w:p>
              </w:tc>
              <w:tc>
                <w:tcPr>
                  <w:tcW w:type="dxa" w:w="3626"/>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9"/>
                <w:szCs w:val="19"/>
              </w:rPr>
              <w:t xml:space="preserve">12</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Medium (70% – 84%)</w:t>
            </w:r>
          </w:p>
        </w:tc>
        <w:tc>
          <w:tcPr>
            <w:tcW w:type="dxa" w:w="6346"/>
            <w:tcBorders>
              <w:top w:val="single" w:color="E2E8F0" w:sz="3"/>
              <w:left w:val="single" w:color="E2E8F0" w:sz="3"/>
              <w:bottom w:val="single" w:color="E2E8F0" w:sz="3"/>
              <w:right w:val="single" w:color="E2E8F0" w:sz="3"/>
            </w:tcBorders>
            <w:shd w:fill="F1F5F9"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6346"/>
              <w:gridCol w:w="1"/>
            </w:tblGrid>
            <w:tr>
              <w:tc>
                <w:tcPr>
                  <w:tcW w:type="dxa" w:w="6346"/>
                  <w:tcBorders>
                    <w:top w:val="none"/>
                    <w:left w:val="none"/>
                    <w:bottom w:val="none"/>
                    <w:right w:val="none"/>
                  </w:tcBorders>
                  <w:shd w:fill="0E7490" w:val="clear"/>
                </w:tcPr>
                <w:p>
                  <w:pPr>
                    <w:spacing w:after="0" w:before="0"/>
                  </w:pPr>
                  <w:r>
                    <w:rPr>
                      <w:sz w:val="12"/>
                      <w:szCs w:val="12"/>
                    </w:rPr>
                    <w:t xml:space="preserve"> </w:t>
                  </w:r>
                </w:p>
              </w:tc>
              <w:tc>
                <w:tcPr>
                  <w:tcW w:type="dxa" w:w="1"/>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19"/>
                <w:szCs w:val="19"/>
              </w:rPr>
              <w:t xml:space="preserve">28</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Basic  (&lt; 70%)</w:t>
            </w:r>
          </w:p>
        </w:tc>
        <w:tc>
          <w:tcPr>
            <w:tcW w:type="dxa" w:w="6346"/>
            <w:tcBorders>
              <w:top w:val="single" w:color="E2E8F0" w:sz="3"/>
              <w:left w:val="single" w:color="E2E8F0" w:sz="3"/>
              <w:bottom w:val="single" w:color="E2E8F0" w:sz="3"/>
              <w:right w:val="single" w:color="E2E8F0" w:sz="3"/>
            </w:tcBorders>
            <w:shd w:fill="FFFFFF"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2266"/>
              <w:gridCol w:w="4080"/>
            </w:tblGrid>
            <w:tr>
              <w:tc>
                <w:tcPr>
                  <w:tcW w:type="dxa" w:w="2266"/>
                  <w:tcBorders>
                    <w:top w:val="none"/>
                    <w:left w:val="none"/>
                    <w:bottom w:val="none"/>
                    <w:right w:val="none"/>
                  </w:tcBorders>
                  <w:shd w:fill="B45309" w:val="clear"/>
                </w:tcPr>
                <w:p>
                  <w:pPr>
                    <w:spacing w:after="0" w:before="0"/>
                  </w:pPr>
                  <w:r>
                    <w:rPr>
                      <w:sz w:val="12"/>
                      <w:szCs w:val="12"/>
                    </w:rPr>
                    <w:t xml:space="preserve"> </w:t>
                  </w:r>
                </w:p>
              </w:tc>
              <w:tc>
                <w:tcPr>
                  <w:tcW w:type="dxa" w:w="4080"/>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9"/>
                <w:szCs w:val="19"/>
              </w:rPr>
              <w:t xml:space="preserve">10</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5146"/>
      </w:tblGrid>
      <w:tr>
        <w:tc>
          <w:tcPr>
            <w:tcW w:type="dxa" w:w="2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Level</w:t>
            </w:r>
          </w:p>
        </w:tc>
        <w:tc>
          <w:tcPr>
            <w:tcW w:type="dxa" w:w="1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Count</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 of Class</w:t>
            </w:r>
          </w:p>
        </w:tc>
        <w:tc>
          <w:tcPr>
            <w:tcW w:type="dxa" w:w="51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Scholarship Impact</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High (≥ 85%)</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12</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24%</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Meets PAJSK requirement for top scholarships (JPA PPN ≥82%, Khazanah ≥85%)</w:t>
            </w:r>
          </w:p>
        </w:tc>
      </w:tr>
      <w:tr>
        <w:tc>
          <w:tcPr>
            <w:tcW w:type="dxa" w:w="2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0E7490"/>
                <w:sz w:val="20"/>
                <w:szCs w:val="20"/>
              </w:rPr>
              <w:t xml:space="preserve">Medium (70% – 84%)</w:t>
            </w:r>
          </w:p>
        </w:tc>
        <w:tc>
          <w:tcPr>
            <w:tcW w:type="dxa" w:w="1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28</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56%</w:t>
            </w:r>
          </w:p>
        </w:tc>
        <w:tc>
          <w:tcPr>
            <w:tcW w:type="dxa" w:w="51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Meets requirement for most scholarships (JPA LSPM ≥80%, Shell ≥75%)</w:t>
            </w:r>
          </w:p>
        </w:tc>
      </w:tr>
      <w:tr>
        <w:tc>
          <w:tcPr>
            <w:tcW w:type="dxa" w:w="2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B45309"/>
                <w:sz w:val="20"/>
                <w:szCs w:val="20"/>
              </w:rPr>
              <w:t xml:space="preserve">Basic (&lt; 70%)</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10</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20%</w:t>
            </w:r>
          </w:p>
        </w:tc>
        <w:tc>
          <w:tcPr>
            <w:tcW w:type="dxa" w:w="51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May not meet strict PAJSK thresholds — matched on other dimensions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E7490" w:sz="4"/>
              <w:left w:val="thick" w:color="0E7490" w:sz="20"/>
              <w:bottom w:val="single" w:color="0E7490" w:sz="4"/>
              <w:right w:val="single" w:color="0E7490" w:sz="4"/>
            </w:tcBorders>
            <w:shd w:fill="F0FDFA"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80% of students (40 out of 50) have reached at least Medium leadership level. Only 20% are at Basic level — indicating a generally active co-curricular culture in this class.</w:t>
            </w:r>
          </w:p>
        </w:tc>
      </w:tr>
    </w:tbl>
    <w:p>
      <w:r>
        <w:br w:type="page"/>
      </w:r>
    </w:p>
    <w:p>
      <w:pPr>
        <w:pStyle w:val="Heading1"/>
        <w:spacing w:after="160" w:before="320"/>
      </w:pPr>
      <w:bookmarkStart w:name="riasec" w:id="1"/>
      <w:r>
        <w:rPr>
          <w:rFonts w:ascii="Arial" w:cs="Arial" w:eastAsia="Arial" w:hAnsi="Arial"/>
          <w:b/>
          <w:bCs/>
          <w:color w:val="0F2057"/>
          <w:sz w:val="32"/>
          <w:szCs w:val="32"/>
        </w:rPr>
        <w:t xml:space="preserve">5.  Psychometric Profile (RIASEC / IMK)</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Each student's career interest profile is determined by the Inventori Minat Kerjaya (IMK), which produces scores across six RIASEC dimensions. The top three codes form the student's Holland Code. The primary (top-1) code determines the student's field of interest and dream career. This dimension carries 15% weight in the matching formula.</w:t>
      </w:r>
    </w:p>
    <w:p>
      <w:pPr>
        <w:spacing w:line="160"/>
      </w:pPr>
      <w:r>
        <w:t xml:space="preserve"/>
      </w:r>
    </w:p>
    <w:p>
      <w:pPr>
        <w:pStyle w:val="Heading2"/>
        <w:spacing w:after="120" w:before="220"/>
      </w:pPr>
      <w:r>
        <w:rPr>
          <w:rFonts w:ascii="Arial" w:cs="Arial" w:eastAsia="Arial" w:hAnsi="Arial"/>
          <w:b/>
          <w:bCs/>
          <w:color w:val="1A56DB"/>
          <w:sz w:val="26"/>
          <w:szCs w:val="26"/>
        </w:rPr>
        <w:t xml:space="preserve">5.1  Distribution of Primary RIASEC Type (Top-1 Code)</w:t>
      </w:r>
    </w:p>
    <w:p>
      <w:pPr>
        <w:spacing w:after="60" w:before="60"/>
        <w:jc w:val="left"/>
      </w:pPr>
      <w:r>
        <w:rPr>
          <w:rFonts w:ascii="Arial" w:cs="Arial" w:eastAsia="Arial" w:hAnsi="Arial"/>
          <w:b w:val="false"/>
          <w:bCs w:val="false"/>
          <w:color w:val="334155"/>
          <w:sz w:val="21"/>
          <w:szCs w:val="21"/>
        </w:rPr>
        <w:t xml:space="preserve">The chart below shows how many students have each RIASEC type as their dominant (highest-scoring) dimension:</w:t>
      </w:r>
    </w:p>
    <w:p>
      <w:pPr>
        <w:spacing w:lin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346"/>
        <w:gridCol w:w="600"/>
      </w:tblGrid>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Realistic (R)     — Engineering / Technical</w:t>
            </w:r>
          </w:p>
        </w:tc>
        <w:tc>
          <w:tcPr>
            <w:tcW w:type="dxa" w:w="6346"/>
            <w:tcBorders>
              <w:top w:val="single" w:color="E2E8F0" w:sz="3"/>
              <w:left w:val="single" w:color="E2E8F0" w:sz="3"/>
              <w:bottom w:val="single" w:color="E2E8F0" w:sz="3"/>
              <w:right w:val="single" w:color="E2E8F0" w:sz="3"/>
            </w:tcBorders>
            <w:shd w:fill="FFFFFF"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6346"/>
              <w:gridCol w:w="1"/>
            </w:tblGrid>
            <w:tr>
              <w:tc>
                <w:tcPr>
                  <w:tcW w:type="dxa" w:w="6346"/>
                  <w:tcBorders>
                    <w:top w:val="none"/>
                    <w:left w:val="none"/>
                    <w:bottom w:val="none"/>
                    <w:right w:val="none"/>
                  </w:tcBorders>
                  <w:shd w:fill="1A56DB" w:val="clear"/>
                </w:tcPr>
                <w:p>
                  <w:pPr>
                    <w:spacing w:after="0" w:before="0"/>
                  </w:pPr>
                  <w:r>
                    <w:rPr>
                      <w:sz w:val="12"/>
                      <w:szCs w:val="12"/>
                    </w:rPr>
                    <w:t xml:space="preserve"> </w:t>
                  </w:r>
                </w:p>
              </w:tc>
              <w:tc>
                <w:tcPr>
                  <w:tcW w:type="dxa" w:w="1"/>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19"/>
                <w:szCs w:val="19"/>
              </w:rPr>
              <w:t xml:space="preserve">13</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Enterprising (E)  — Business / Leadership</w:t>
            </w:r>
          </w:p>
        </w:tc>
        <w:tc>
          <w:tcPr>
            <w:tcW w:type="dxa" w:w="6346"/>
            <w:tcBorders>
              <w:top w:val="single" w:color="E2E8F0" w:sz="3"/>
              <w:left w:val="single" w:color="E2E8F0" w:sz="3"/>
              <w:bottom w:val="single" w:color="E2E8F0" w:sz="3"/>
              <w:right w:val="single" w:color="E2E8F0" w:sz="3"/>
            </w:tcBorders>
            <w:shd w:fill="F1F5F9"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5370"/>
              <w:gridCol w:w="976"/>
            </w:tblGrid>
            <w:tr>
              <w:tc>
                <w:tcPr>
                  <w:tcW w:type="dxa" w:w="5370"/>
                  <w:tcBorders>
                    <w:top w:val="none"/>
                    <w:left w:val="none"/>
                    <w:bottom w:val="none"/>
                    <w:right w:val="none"/>
                  </w:tcBorders>
                  <w:shd w:fill="9B1C1C" w:val="clear"/>
                </w:tcPr>
                <w:p>
                  <w:pPr>
                    <w:spacing w:after="0" w:before="0"/>
                  </w:pPr>
                  <w:r>
                    <w:rPr>
                      <w:sz w:val="12"/>
                      <w:szCs w:val="12"/>
                    </w:rPr>
                    <w:t xml:space="preserve"> </w:t>
                  </w:r>
                </w:p>
              </w:tc>
              <w:tc>
                <w:tcPr>
                  <w:tcW w:type="dxa" w:w="976"/>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19"/>
                <w:szCs w:val="19"/>
              </w:rPr>
              <w:t xml:space="preserve">11</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Artistic (A)      — Design / Creative</w:t>
            </w:r>
          </w:p>
        </w:tc>
        <w:tc>
          <w:tcPr>
            <w:tcW w:type="dxa" w:w="6346"/>
            <w:tcBorders>
              <w:top w:val="single" w:color="E2E8F0" w:sz="3"/>
              <w:left w:val="single" w:color="E2E8F0" w:sz="3"/>
              <w:bottom w:val="single" w:color="E2E8F0" w:sz="3"/>
              <w:right w:val="single" w:color="E2E8F0" w:sz="3"/>
            </w:tcBorders>
            <w:shd w:fill="FFFFFF"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4393"/>
              <w:gridCol w:w="1953"/>
            </w:tblGrid>
            <w:tr>
              <w:tc>
                <w:tcPr>
                  <w:tcW w:type="dxa" w:w="4393"/>
                  <w:tcBorders>
                    <w:top w:val="none"/>
                    <w:left w:val="none"/>
                    <w:bottom w:val="none"/>
                    <w:right w:val="none"/>
                  </w:tcBorders>
                  <w:shd w:fill="5B21B6" w:val="clear"/>
                </w:tcPr>
                <w:p>
                  <w:pPr>
                    <w:spacing w:after="0" w:before="0"/>
                  </w:pPr>
                  <w:r>
                    <w:rPr>
                      <w:sz w:val="12"/>
                      <w:szCs w:val="12"/>
                    </w:rPr>
                    <w:t xml:space="preserve"> </w:t>
                  </w:r>
                </w:p>
              </w:tc>
              <w:tc>
                <w:tcPr>
                  <w:tcW w:type="dxa" w:w="1953"/>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19"/>
                <w:szCs w:val="19"/>
              </w:rPr>
              <w:t xml:space="preserve">9</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Social (S)        — Education / Social Work</w:t>
            </w:r>
          </w:p>
        </w:tc>
        <w:tc>
          <w:tcPr>
            <w:tcW w:type="dxa" w:w="6346"/>
            <w:tcBorders>
              <w:top w:val="single" w:color="E2E8F0" w:sz="3"/>
              <w:left w:val="single" w:color="E2E8F0" w:sz="3"/>
              <w:bottom w:val="single" w:color="E2E8F0" w:sz="3"/>
              <w:right w:val="single" w:color="E2E8F0" w:sz="3"/>
            </w:tcBorders>
            <w:shd w:fill="F1F5F9"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3905"/>
              <w:gridCol w:w="2441"/>
            </w:tblGrid>
            <w:tr>
              <w:tc>
                <w:tcPr>
                  <w:tcW w:type="dxa" w:w="3905"/>
                  <w:tcBorders>
                    <w:top w:val="none"/>
                    <w:left w:val="none"/>
                    <w:bottom w:val="none"/>
                    <w:right w:val="none"/>
                  </w:tcBorders>
                  <w:shd w:fill="B45309" w:val="clear"/>
                </w:tcPr>
                <w:p>
                  <w:pPr>
                    <w:spacing w:after="0" w:before="0"/>
                  </w:pPr>
                  <w:r>
                    <w:rPr>
                      <w:sz w:val="12"/>
                      <w:szCs w:val="12"/>
                    </w:rPr>
                    <w:t xml:space="preserve"> </w:t>
                  </w:r>
                </w:p>
              </w:tc>
              <w:tc>
                <w:tcPr>
                  <w:tcW w:type="dxa" w:w="2441"/>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19"/>
                <w:szCs w:val="19"/>
              </w:rPr>
              <w:t xml:space="preserve">8</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Conventional (K)  — Accounting / Finance</w:t>
            </w:r>
          </w:p>
        </w:tc>
        <w:tc>
          <w:tcPr>
            <w:tcW w:type="dxa" w:w="6346"/>
            <w:tcBorders>
              <w:top w:val="single" w:color="E2E8F0" w:sz="3"/>
              <w:left w:val="single" w:color="E2E8F0" w:sz="3"/>
              <w:bottom w:val="single" w:color="E2E8F0" w:sz="3"/>
              <w:right w:val="single" w:color="E2E8F0" w:sz="3"/>
            </w:tcBorders>
            <w:shd w:fill="FFFFFF"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2929"/>
              <w:gridCol w:w="3417"/>
            </w:tblGrid>
            <w:tr>
              <w:tc>
                <w:tcPr>
                  <w:tcW w:type="dxa" w:w="2929"/>
                  <w:tcBorders>
                    <w:top w:val="none"/>
                    <w:left w:val="none"/>
                    <w:bottom w:val="none"/>
                    <w:right w:val="none"/>
                  </w:tcBorders>
                  <w:shd w:fill="0E7490" w:val="clear"/>
                </w:tcPr>
                <w:p>
                  <w:pPr>
                    <w:spacing w:after="0" w:before="0"/>
                  </w:pPr>
                  <w:r>
                    <w:rPr>
                      <w:sz w:val="12"/>
                      <w:szCs w:val="12"/>
                    </w:rPr>
                    <w:t xml:space="preserve"> </w:t>
                  </w:r>
                </w:p>
              </w:tc>
              <w:tc>
                <w:tcPr>
                  <w:tcW w:type="dxa" w:w="3417"/>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19"/>
                <w:szCs w:val="19"/>
              </w:rPr>
              <w:t xml:space="preserve">6</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Investigative (I) — Science / Research</w:t>
            </w:r>
          </w:p>
        </w:tc>
        <w:tc>
          <w:tcPr>
            <w:tcW w:type="dxa" w:w="6346"/>
            <w:tcBorders>
              <w:top w:val="single" w:color="E2E8F0" w:sz="3"/>
              <w:left w:val="single" w:color="E2E8F0" w:sz="3"/>
              <w:bottom w:val="single" w:color="E2E8F0" w:sz="3"/>
              <w:right w:val="single" w:color="E2E8F0" w:sz="3"/>
            </w:tcBorders>
            <w:shd w:fill="F1F5F9" w:val="clear"/>
            <w:tcMar>
              <w:top w:type="dxa" w:w="80"/>
              <w:left w:type="dxa" w:w="60"/>
              <w:bottom w:type="dxa" w:w="80"/>
              <w:right w:type="dxa" w:w="60"/>
            </w:tcMar>
          </w:tcPr>
          <w:tbl>
            <w:tblPr>
              <w:tblW w:type="dxa" w:w="6226"/>
              <w:tblBorders>
                <w:top w:val="single" w:color="auto" w:sz="4"/>
                <w:left w:val="single" w:color="auto" w:sz="4"/>
                <w:bottom w:val="single" w:color="auto" w:sz="4"/>
                <w:right w:val="single" w:color="auto" w:sz="4"/>
                <w:insideH w:val="single" w:color="auto" w:sz="4"/>
                <w:insideV w:val="single" w:color="auto" w:sz="4"/>
              </w:tblBorders>
            </w:tblPr>
            <w:tblGrid>
              <w:gridCol w:w="1464"/>
              <w:gridCol w:w="4882"/>
            </w:tblGrid>
            <w:tr>
              <w:tc>
                <w:tcPr>
                  <w:tcW w:type="dxa" w:w="1464"/>
                  <w:tcBorders>
                    <w:top w:val="none"/>
                    <w:left w:val="none"/>
                    <w:bottom w:val="none"/>
                    <w:right w:val="none"/>
                  </w:tcBorders>
                  <w:shd w:fill="166534" w:val="clear"/>
                </w:tcPr>
                <w:p>
                  <w:pPr>
                    <w:spacing w:after="0" w:before="0"/>
                  </w:pPr>
                  <w:r>
                    <w:rPr>
                      <w:sz w:val="12"/>
                      <w:szCs w:val="12"/>
                    </w:rPr>
                    <w:t xml:space="preserve"> </w:t>
                  </w:r>
                </w:p>
              </w:tc>
              <w:tc>
                <w:tcPr>
                  <w:tcW w:type="dxa" w:w="4882"/>
                  <w:tcBorders>
                    <w:top w:val="none"/>
                    <w:left w:val="none"/>
                    <w:bottom w:val="none"/>
                    <w:right w:val="none"/>
                  </w:tcBorders>
                  <w:shd w:fill="E2E8F0" w:val="clear"/>
                </w:tcPr>
                <w:p>
                  <w:pPr>
                    <w:spacing w:after="0" w:before="0"/>
                  </w:pPr>
                  <w:r>
                    <w:rPr>
                      <w:sz w:val="12"/>
                      <w:szCs w:val="12"/>
                    </w:rPr>
                    <w:t xml:space="preserve"> </w:t>
                  </w:r>
                </w:p>
              </w:tc>
            </w:tr>
          </w:tbl>
          <w:p/>
        </w:tc>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19"/>
                <w:szCs w:val="19"/>
              </w:rPr>
              <w:t xml:space="preserve">3</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5.2  Field of Interest Distribution</w:t>
      </w:r>
    </w:p>
    <w:p>
      <w:pPr>
        <w:spacing w:after="60" w:before="60"/>
        <w:jc w:val="left"/>
      </w:pPr>
      <w:r>
        <w:rPr>
          <w:rFonts w:ascii="Arial" w:cs="Arial" w:eastAsia="Arial" w:hAnsi="Arial"/>
          <w:b w:val="false"/>
          <w:bCs w:val="false"/>
          <w:color w:val="334155"/>
          <w:sz w:val="21"/>
          <w:szCs w:val="21"/>
        </w:rPr>
        <w:t xml:space="preserve">The primary RIASEC code maps to a field of interest. The table shows how students are distributed across the six available fields:</w:t>
      </w:r>
    </w:p>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946"/>
      </w:tblGrid>
      <w:tr>
        <w:tc>
          <w:tcPr>
            <w:tcW w:type="dxa" w:w="28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 of Interest</w:t>
            </w:r>
          </w:p>
        </w:tc>
        <w:tc>
          <w:tcPr>
            <w:tcW w:type="dxa" w:w="14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Count</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 of Class</w:t>
            </w:r>
          </w:p>
        </w:tc>
        <w:tc>
          <w:tcPr>
            <w:tcW w:type="dxa" w:w="39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RIASEC Code</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Kejuruteraan &amp; Teknologi</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13</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26%</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Realistic (R)</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Perniagaan &amp; Pengurusan</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9B1C1C"/>
                <w:sz w:val="20"/>
                <w:szCs w:val="20"/>
              </w:rPr>
              <w:t xml:space="preserve">11</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22%</w:t>
            </w:r>
          </w:p>
        </w:tc>
        <w:tc>
          <w:tcPr>
            <w:tcW w:type="dxa" w:w="3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Enterprising (E)</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Seni &amp; Komunikasi</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9</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18%</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Artistic (A)</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Pendidikan &amp; Perkhidmatan Sosial</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B45309"/>
                <w:sz w:val="20"/>
                <w:szCs w:val="20"/>
              </w:rPr>
              <w:t xml:space="preserve">8</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16%</w:t>
            </w:r>
          </w:p>
        </w:tc>
        <w:tc>
          <w:tcPr>
            <w:tcW w:type="dxa" w:w="3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Social (S)</w:t>
            </w:r>
          </w:p>
        </w:tc>
      </w:tr>
      <w:tr>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Perakaunan &amp; Kewangan</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6</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12%</w:t>
            </w:r>
          </w:p>
        </w:tc>
        <w:tc>
          <w:tcPr>
            <w:tcW w:type="dxa" w:w="3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Conventional (K)</w:t>
            </w:r>
          </w:p>
        </w:tc>
      </w:tr>
      <w:tr>
        <w:tc>
          <w:tcPr>
            <w:tcW w:type="dxa" w:w="2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Sains &amp; Perubatan</w:t>
            </w:r>
          </w:p>
        </w:tc>
        <w:tc>
          <w:tcPr>
            <w:tcW w:type="dxa" w:w="14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3</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6%</w:t>
            </w:r>
          </w:p>
        </w:tc>
        <w:tc>
          <w:tcPr>
            <w:tcW w:type="dxa" w:w="3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Investigative (I)</w:t>
            </w:r>
          </w:p>
        </w:tc>
      </w:tr>
      <w:tr>
        <w:tc>
          <w:tcPr>
            <w:tcW w:type="dxa" w:w="28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Total</w:t>
            </w:r>
          </w:p>
        </w:tc>
        <w:tc>
          <w:tcPr>
            <w:tcW w:type="dxa" w:w="14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50</w:t>
            </w:r>
          </w:p>
        </w:tc>
        <w:tc>
          <w:tcPr>
            <w:tcW w:type="dxa" w:w="1600"/>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100%</w:t>
            </w:r>
          </w:p>
        </w:tc>
        <w:tc>
          <w:tcPr>
            <w:tcW w:type="dxa" w:w="3946"/>
            <w:gridSpan w:val="1"/>
            <w:tcBorders>
              <w:top w:val="single" w:color="E2E8F0" w:sz="4"/>
              <w:left w:val="single" w:color="E2E8F0" w:sz="4"/>
              <w:bottom w:val="single" w:color="E2E8F0" w:sz="4"/>
              <w:right w:val="single" w:color="E2E8F0" w:sz="4"/>
            </w:tcBorders>
            <w:shd w:fill="EFF6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21B6" w:sz="4"/>
              <w:left w:val="thick" w:color="5B21B6" w:sz="20"/>
              <w:bottom w:val="single" w:color="5B21B6" w:sz="4"/>
              <w:right w:val="single" w:color="5B21B6" w:sz="4"/>
            </w:tcBorders>
            <w:shd w:fill="F5F3FF"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Realistic (R) is the most common primary type at 26%, aligning with the class's strong science performance (Kimia and Fizik as top subjects). Only 3 students (6%) have Investigative (I) as their top type — suggesting interest in research/medicine is less common despite strong science grades.</w:t>
            </w:r>
          </w:p>
        </w:tc>
      </w:tr>
    </w:tbl>
    <w:p>
      <w:r>
        <w:br w:type="page"/>
      </w:r>
    </w:p>
    <w:p>
      <w:pPr>
        <w:pStyle w:val="Heading1"/>
        <w:spacing w:after="160" w:before="320"/>
      </w:pPr>
      <w:bookmarkStart w:name="matching" w:id="1"/>
      <w:r>
        <w:rPr>
          <w:rFonts w:ascii="Arial" w:cs="Arial" w:eastAsia="Arial" w:hAnsi="Arial"/>
          <w:b/>
          <w:bCs/>
          <w:color w:val="0F2057"/>
          <w:sz w:val="32"/>
          <w:szCs w:val="32"/>
        </w:rPr>
        <w:t xml:space="preserve">6.  System Matching Readiness</w:t>
      </w:r>
      <w:bookmarkEnd w:id="1"/>
    </w:p>
    <w:p>
      <w:pPr>
        <w:pBdr>
          <w:bottom w:val="single" w:color="E2E8F0" w:sz="6" w:space="1"/>
        </w:pBdr>
        <w:spacing w:after="40" w:before="40"/>
      </w:pPr>
      <w:r>
        <w:t xml:space="preserve"/>
      </w:r>
    </w:p>
    <w:p>
      <w:pPr>
        <w:spacing w:after="60" w:before="60"/>
        <w:jc w:val="left"/>
      </w:pPr>
      <w:r>
        <w:rPr>
          <w:rFonts w:ascii="Arial" w:cs="Arial" w:eastAsia="Arial" w:hAnsi="Arial"/>
          <w:b w:val="false"/>
          <w:bCs w:val="false"/>
          <w:color w:val="334155"/>
          <w:sz w:val="21"/>
          <w:szCs w:val="21"/>
        </w:rPr>
        <w:t xml:space="preserve">This section assesses how well the student dataset is positioned for scholarship matching across all five dimensions used by Agent 2 (Scholarship Matching Agent).</w:t>
      </w:r>
    </w:p>
    <w:p>
      <w:pPr>
        <w:spacing w:line="160"/>
      </w:pPr>
      <w:r>
        <w:t xml:space="preserve"/>
      </w:r>
    </w:p>
    <w:p>
      <w:pPr>
        <w:pStyle w:val="Heading2"/>
        <w:spacing w:after="120" w:before="220"/>
      </w:pPr>
      <w:r>
        <w:rPr>
          <w:rFonts w:ascii="Arial" w:cs="Arial" w:eastAsia="Arial" w:hAnsi="Arial"/>
          <w:b/>
          <w:bCs/>
          <w:color w:val="1A56DB"/>
          <w:sz w:val="26"/>
          <w:szCs w:val="26"/>
        </w:rPr>
        <w:t xml:space="preserve">6.1  Five-Dimension Match Readiness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200"/>
        <w:gridCol w:w="1200"/>
        <w:gridCol w:w="4246"/>
      </w:tblGrid>
      <w:tr>
        <w:tc>
          <w:tcPr>
            <w:tcW w:type="dxa" w:w="5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2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Dimension</w:t>
            </w:r>
          </w:p>
        </w:tc>
        <w:tc>
          <w:tcPr>
            <w:tcW w:type="dxa" w:w="1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Weight</w:t>
            </w:r>
          </w:p>
        </w:tc>
        <w:tc>
          <w:tcPr>
            <w:tcW w:type="dxa" w:w="1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Class Readiness</w:t>
            </w:r>
          </w:p>
        </w:tc>
        <w:tc>
          <w:tcPr>
            <w:tcW w:type="dxa" w:w="42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Notes</w:t>
            </w:r>
          </w:p>
        </w:tc>
      </w:tr>
      <w:tr>
        <w:tc>
          <w:tcPr>
            <w:tcW w:type="dxa" w:w="5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26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Academic Performance (SPM)</w:t>
            </w:r>
          </w:p>
        </w:tc>
        <w:tc>
          <w:tcPr>
            <w:tcW w:type="dxa" w:w="12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35%</w:t>
            </w:r>
          </w:p>
        </w:tc>
        <w:tc>
          <w:tcPr>
            <w:tcW w:type="dxa" w:w="12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Strong</w:t>
            </w:r>
          </w:p>
        </w:tc>
        <w:tc>
          <w:tcPr>
            <w:tcW w:type="dxa" w:w="4246"/>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Avg GP 6.39; 24 students above GP 6.0 — well-positioned for most scholarships</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Co-curricular</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20%</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E7490"/>
                <w:sz w:val="20"/>
                <w:szCs w:val="20"/>
              </w:rPr>
              <w:t xml:space="preserve">Good</w:t>
            </w:r>
          </w:p>
        </w:tc>
        <w:tc>
          <w:tcPr>
            <w:tcW w:type="dxa" w:w="42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Avg 78.3%; 80% at Medium/High — 40 students meet PAJSK thresholds</w:t>
            </w:r>
          </w:p>
        </w:tc>
      </w:tr>
      <w:tr>
        <w:tc>
          <w:tcPr>
            <w:tcW w:type="dxa" w:w="5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26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Psychometric — RIASEC</w:t>
            </w:r>
          </w:p>
        </w:tc>
        <w:tc>
          <w:tcPr>
            <w:tcW w:type="dxa" w:w="12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15%</w:t>
            </w:r>
          </w:p>
        </w:tc>
        <w:tc>
          <w:tcPr>
            <w:tcW w:type="dxa" w:w="1200"/>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center"/>
            </w:pPr>
            <w:r>
              <w:rPr>
                <w:rFonts w:ascii="Arial" w:cs="Arial" w:eastAsia="Arial" w:hAnsi="Arial"/>
                <w:b/>
                <w:bCs/>
                <w:color w:val="5B21B6"/>
                <w:sz w:val="20"/>
                <w:szCs w:val="20"/>
              </w:rPr>
              <w:t xml:space="preserve">Good</w:t>
            </w:r>
          </w:p>
        </w:tc>
        <w:tc>
          <w:tcPr>
            <w:tcW w:type="dxa" w:w="4246"/>
            <w:gridSpan w:val="1"/>
            <w:tcBorders>
              <w:top w:val="single" w:color="E2E8F0" w:sz="4"/>
              <w:left w:val="single" w:color="E2E8F0" w:sz="4"/>
              <w:bottom w:val="single" w:color="E2E8F0" w:sz="4"/>
              <w:right w:val="single" w:color="E2E8F0" w:sz="4"/>
            </w:tcBorders>
            <w:shd w:fill="F5F3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All 6 RIASEC types represented; Realistic &amp; Enterprising dominant (47% of students)</w:t>
            </w:r>
          </w:p>
        </w:tc>
      </w:tr>
      <w:tr>
        <w:tc>
          <w:tcPr>
            <w:tcW w:type="dxa" w:w="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2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Career Aspiration</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15%</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A56DB"/>
                <w:sz w:val="20"/>
                <w:szCs w:val="20"/>
              </w:rPr>
              <w:t xml:space="preserve">Covered</w:t>
            </w:r>
          </w:p>
        </w:tc>
        <w:tc>
          <w:tcPr>
            <w:tcW w:type="dxa" w:w="42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All 50 students have fieldOfInterest and dreamCareer derived from RIASEC top code</w:t>
            </w:r>
          </w:p>
        </w:tc>
      </w:tr>
      <w:tr>
        <w:tc>
          <w:tcPr>
            <w:tcW w:type="dxa" w:w="5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26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Parent / Family Background</w:t>
            </w:r>
          </w:p>
        </w:tc>
        <w:tc>
          <w:tcPr>
            <w:tcW w:type="dxa" w:w="12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0F2057"/>
                <w:sz w:val="20"/>
                <w:szCs w:val="20"/>
              </w:rPr>
              <w:t xml:space="preserve">15%</w:t>
            </w:r>
          </w:p>
        </w:tc>
        <w:tc>
          <w:tcPr>
            <w:tcW w:type="dxa" w:w="1200"/>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Complete</w:t>
            </w:r>
          </w:p>
        </w:tc>
        <w:tc>
          <w:tcPr>
            <w:tcW w:type="dxa" w:w="4246"/>
            <w:gridSpan w:val="1"/>
            <w:tcBorders>
              <w:top w:val="single" w:color="E2E8F0" w:sz="4"/>
              <w:left w:val="single" w:color="E2E8F0" w:sz="4"/>
              <w:bottom w:val="single" w:color="E2E8F0" w:sz="4"/>
              <w:right w:val="single" w:color="E2E8F0"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20"/>
                <w:szCs w:val="20"/>
              </w:rPr>
              <w:t xml:space="preserve">All 50 students have parentCategory (54% B40, 26% M40, 20% T20)</w:t>
            </w:r>
          </w:p>
        </w:tc>
      </w:tr>
    </w:tbl>
    <w:p>
      <w:pPr>
        <w:spacing w:line="160"/>
      </w:pPr>
      <w:r>
        <w:t xml:space="preserve"/>
      </w:r>
    </w:p>
    <w:p>
      <w:pPr>
        <w:pStyle w:val="Heading2"/>
        <w:spacing w:after="120" w:before="220"/>
      </w:pPr>
      <w:r>
        <w:rPr>
          <w:rFonts w:ascii="Arial" w:cs="Arial" w:eastAsia="Arial" w:hAnsi="Arial"/>
          <w:b/>
          <w:bCs/>
          <w:color w:val="1A56DB"/>
          <w:sz w:val="26"/>
          <w:szCs w:val="26"/>
        </w:rPr>
        <w:t xml:space="preserve">6.2  Data Completeness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546"/>
      </w:tblGrid>
      <w:tr>
        <w:tc>
          <w:tcPr>
            <w:tcW w:type="dxa" w:w="30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Field</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Records Present</w:t>
            </w:r>
          </w:p>
        </w:tc>
        <w:tc>
          <w:tcPr>
            <w:tcW w:type="dxa" w:w="1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Completeness</w:t>
            </w:r>
          </w:p>
        </w:tc>
        <w:tc>
          <w:tcPr>
            <w:tcW w:type="dxa" w:w="35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Status</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Student ID (id)</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 50</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100%</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Complete</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SPM Grades (9 subjects)</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 50</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100%</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Complete</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PAJSK Score &amp; Level</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 50</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100%</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Complete</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RIASEC Holland Code (top-3)</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 50</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100%</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Complete</w:t>
            </w:r>
          </w:p>
        </w:tc>
      </w:tr>
      <w:tr>
        <w:tc>
          <w:tcPr>
            <w:tcW w:type="dxa" w:w="30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Family Income Category</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 50</w:t>
            </w:r>
          </w:p>
        </w:tc>
        <w:tc>
          <w:tcPr>
            <w:tcW w:type="dxa" w:w="1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100%</w:t>
            </w:r>
          </w:p>
        </w:tc>
        <w:tc>
          <w:tcPr>
            <w:tcW w:type="dxa" w:w="35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Complete</w:t>
            </w:r>
          </w:p>
        </w:tc>
      </w:tr>
      <w:tr>
        <w:tc>
          <w:tcPr>
            <w:tcW w:type="dxa" w:w="3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Key Achievements (PAJSK)</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334155"/>
                <w:sz w:val="20"/>
                <w:szCs w:val="20"/>
              </w:rPr>
              <w:t xml:space="preserve">50 / 50</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166534"/>
                <w:sz w:val="20"/>
                <w:szCs w:val="20"/>
              </w:rPr>
              <w:t xml:space="preserve">100%</w:t>
            </w:r>
          </w:p>
        </w:tc>
        <w:tc>
          <w:tcPr>
            <w:tcW w:type="dxa" w:w="35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166534"/>
                <w:sz w:val="20"/>
                <w:szCs w:val="20"/>
              </w:rPr>
              <w:t xml:space="preserve">Complete — minimum 2 achievements per student</w:t>
            </w:r>
          </w:p>
        </w:tc>
      </w:tr>
    </w:tbl>
    <w:p>
      <w:pPr>
        <w:spacing w:lin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4"/>
              <w:left w:val="thick" w:color="166534" w:sz="20"/>
              <w:bottom w:val="single" w:color="166534" w:sz="4"/>
              <w:right w:val="single" w:color="166534" w:sz="4"/>
            </w:tcBorders>
            <w:shd w:fill="F0FDF4" w:val="clear"/>
            <w:tcMar>
              <w:top w:type="dxa" w:w="140"/>
              <w:left w:type="dxa" w:w="200"/>
              <w:bottom w:type="dxa" w:w="140"/>
              <w:right w:type="dxa" w:w="200"/>
            </w:tcMar>
          </w:tcPr>
          <w:p>
            <w:pPr>
              <w:spacing w:after="0" w:before="0"/>
            </w:pPr>
            <w:r>
              <w:rPr>
                <w:rFonts w:ascii="Arial" w:cs="Arial" w:eastAsia="Arial" w:hAnsi="Arial"/>
                <w:color w:val="334155"/>
                <w:sz w:val="20"/>
                <w:szCs w:val="20"/>
              </w:rPr>
              <w:t xml:space="preserve">All 50 student records are complete across all required fields. There are no missing values or null entries in any dimension used by the matching pipeline. The dataset is ready for full pipeline execution.</w:t>
            </w:r>
          </w:p>
        </w:tc>
      </w:tr>
    </w:tbl>
    <w:p>
      <w:r>
        <w:br w:type="page"/>
      </w:r>
    </w:p>
    <w:p>
      <w:pPr>
        <w:pStyle w:val="Heading1"/>
        <w:spacing w:after="160" w:before="320"/>
      </w:pPr>
      <w:bookmarkStart w:name="summary" w:id="1"/>
      <w:r>
        <w:rPr>
          <w:rFonts w:ascii="Arial" w:cs="Arial" w:eastAsia="Arial" w:hAnsi="Arial"/>
          <w:b/>
          <w:bCs/>
          <w:color w:val="0F2057"/>
          <w:sz w:val="32"/>
          <w:szCs w:val="32"/>
        </w:rPr>
        <w:t xml:space="preserve">7.  Summary &amp; Key Findings</w:t>
      </w:r>
      <w:bookmarkEnd w:id="1"/>
    </w:p>
    <w:p>
      <w:pPr>
        <w:pBdr>
          <w:bottom w:val="single" w:color="E2E8F0" w:sz="6" w:space="1"/>
        </w:pBdr>
        <w:spacing w:after="40" w:before="4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46"/>
      </w:tblGrid>
      <w:tr>
        <w:tc>
          <w:tcPr>
            <w:tcW w:type="dxa" w:w="6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19"/>
                <w:szCs w:val="19"/>
              </w:rPr>
              <w:t xml:space="preserve">#</w:t>
            </w:r>
          </w:p>
        </w:tc>
        <w:tc>
          <w:tcPr>
            <w:tcW w:type="dxa" w:w="3200"/>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Finding</w:t>
            </w:r>
          </w:p>
        </w:tc>
        <w:tc>
          <w:tcPr>
            <w:tcW w:type="dxa" w:w="5946"/>
            <w:gridSpan w:val="1"/>
            <w:tcBorders>
              <w:top w:val="single" w:color="E2E8F0" w:sz="4"/>
              <w:left w:val="single" w:color="E2E8F0" w:sz="4"/>
              <w:bottom w:val="single" w:color="E2E8F0" w:sz="4"/>
              <w:right w:val="single" w:color="E2E8F0" w:sz="4"/>
            </w:tcBorders>
            <w:shd w:fill="0F2057"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19"/>
                <w:szCs w:val="19"/>
              </w:rPr>
              <w:t xml:space="preserve">Implication for the System</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1</w:t>
            </w:r>
          </w:p>
        </w:tc>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54% of students are B40</w:t>
            </w:r>
          </w:p>
        </w:tc>
        <w:tc>
          <w:tcPr>
            <w:tcW w:type="dxa" w:w="5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More than half the class qualifies for need-based and government-funded scholarships (JPA, MARA, Yayasan Pahang)</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2</w:t>
            </w:r>
          </w:p>
        </w:tc>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Class average GP is 6.39 (≈B+)</w:t>
            </w:r>
          </w:p>
        </w:tc>
        <w:tc>
          <w:tcPr>
            <w:tcW w:type="dxa" w:w="5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Majority of students meet the GP threshold for mid-tier scholarships; ~48% meet the threshold for top scholarships (GP ≥7.0)</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3</w:t>
            </w:r>
          </w:p>
        </w:tc>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80% of students are at Medium or High PAJSK level</w:t>
            </w:r>
          </w:p>
        </w:tc>
        <w:tc>
          <w:tcPr>
            <w:tcW w:type="dxa" w:w="5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Strong co-curricular participation — most students will receive meaningful PAJSK scores in the matching formula</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4</w:t>
            </w:r>
          </w:p>
        </w:tc>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Realistic (R) is the dominant RIASEC type (26%)</w:t>
            </w:r>
          </w:p>
        </w:tc>
        <w:tc>
          <w:tcPr>
            <w:tcW w:type="dxa" w:w="5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Strong alignment with Engineering and Technology scholarships (PETRONAS, TNB, Shell) that prefer R/I types</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5</w:t>
            </w:r>
          </w:p>
        </w:tc>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Investigative (I) is the least common type (6%)</w:t>
            </w:r>
          </w:p>
        </w:tc>
        <w:tc>
          <w:tcPr>
            <w:tcW w:type="dxa" w:w="5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Only 3 students lean towards Science/Research/Medicine — may limit competition for some top medical scholarships</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6</w:t>
            </w:r>
          </w:p>
        </w:tc>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Kimia (GP 7.04) is the strongest subject</w:t>
            </w:r>
          </w:p>
        </w:tc>
        <w:tc>
          <w:tcPr>
            <w:tcW w:type="dxa" w:w="5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Science strand is competitive — students have a strong base for STEM-focused scholarships</w:t>
            </w:r>
          </w:p>
        </w:tc>
      </w:tr>
      <w:tr>
        <w:tc>
          <w:tcPr>
            <w:tcW w:type="dxa" w:w="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7</w:t>
            </w:r>
          </w:p>
        </w:tc>
        <w:tc>
          <w:tcPr>
            <w:tcW w:type="dxa" w:w="3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All 50 records are 100% complete</w:t>
            </w:r>
          </w:p>
        </w:tc>
        <w:tc>
          <w:tcPr>
            <w:tcW w:type="dxa" w:w="5946"/>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No data gaps — Agent 1 can build a complete consolidated profile for every student without fallback logic</w:t>
            </w:r>
          </w:p>
        </w:tc>
      </w:tr>
      <w:tr>
        <w:tc>
          <w:tcPr>
            <w:tcW w:type="dxa" w:w="6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center"/>
            </w:pPr>
            <w:r>
              <w:rPr>
                <w:rFonts w:ascii="Arial" w:cs="Arial" w:eastAsia="Arial" w:hAnsi="Arial"/>
                <w:b/>
                <w:bCs/>
                <w:color w:val="334155"/>
                <w:sz w:val="20"/>
                <w:szCs w:val="20"/>
              </w:rPr>
              <w:t xml:space="preserve">8</w:t>
            </w:r>
          </w:p>
        </w:tc>
        <w:tc>
          <w:tcPr>
            <w:tcW w:type="dxa" w:w="32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bCs/>
                <w:color w:val="334155"/>
                <w:sz w:val="20"/>
                <w:szCs w:val="20"/>
              </w:rPr>
              <w:t xml:space="preserve">All 6 RIASEC types are represented</w:t>
            </w:r>
          </w:p>
        </w:tc>
        <w:tc>
          <w:tcPr>
            <w:tcW w:type="dxa" w:w="5946"/>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334155"/>
                <w:sz w:val="19"/>
                <w:szCs w:val="19"/>
              </w:rPr>
              <w:t xml:space="preserve">The system will produce diverse scholarship recommendations across all field categories</w:t>
            </w:r>
          </w:p>
        </w:tc>
      </w:tr>
    </w:tbl>
    <w:p>
      <w:pPr>
        <w:spacing w:line="200"/>
      </w:pPr>
      <w:r>
        <w:t xml:space="preserve"/>
      </w:r>
    </w:p>
    <w:p>
      <w:pPr>
        <w:pBdr>
          <w:bottom w:val="single" w:color="0F2057" w:sz="6" w:space="1"/>
        </w:pBdr>
        <w:spacing w:after="40" w:before="40"/>
      </w:pPr>
      <w:r>
        <w:t xml:space="preserve"/>
      </w:r>
    </w:p>
    <w:p>
      <w:pPr>
        <w:spacing w:after="60" w:before="120"/>
        <w:jc w:val="center"/>
      </w:pPr>
      <w:r>
        <w:rPr>
          <w:rFonts w:ascii="Arial" w:cs="Arial" w:eastAsia="Arial" w:hAnsi="Arial"/>
          <w:b w:val="false"/>
          <w:bCs w:val="false"/>
          <w:color w:val="334155"/>
          <w:sz w:val="19"/>
          <w:szCs w:val="19"/>
        </w:rPr>
        <w:t xml:space="preserve">End of Report — Student Dataset Technical Report  |  Kelas Ibnu Khaldun, SBP Integrasi Kuantan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057" w:sz="6" w:space="1"/>
      </w:pBdr>
      <w:tabs>
        <w:tab w:val="right" w:pos="9026"/>
      </w:tabs>
      <w:spacing w:after="0" w:before="80"/>
    </w:pPr>
    <w:r>
      <w:rPr>
        <w:rFonts w:ascii="Arial" w:cs="Arial" w:eastAsia="Arial" w:hAnsi="Arial"/>
        <w:color w:val="334155"/>
        <w:sz w:val="17"/>
        <w:szCs w:val="17"/>
      </w:rPr>
      <w:t xml:space="preserve">For internal academic and system use only</w:t>
    </w:r>
    <w:r>
      <w:rPr>
        <w:rFonts w:ascii="Arial" w:cs="Arial" w:eastAsia="Arial" w:hAnsi="Arial"/>
        <w:color w:val="334155"/>
        <w:sz w:val="17"/>
        <w:szCs w:val="17"/>
      </w:rPr>
      <w:t xml:space="preserve">	Page </w:t>
    </w:r>
    <w:r>
      <w:rPr>
        <w:rFonts w:ascii="Arial" w:cs="Arial" w:eastAsia="Arial" w:hAnsi="Arial"/>
        <w:color w:val="0F2057"/>
        <w:sz w:val="17"/>
        <w:szCs w:val="17"/>
      </w:rPr>
      <w:fldChar w:fldCharType="begin"/>
      <w:instrText xml:space="preserve">PAGE</w:instrText>
      <w:fldChar w:fldCharType="separate"/>
      <w:fldChar w:fldCharType="end"/>
    </w:r>
    <w:r>
      <w:rPr>
        <w:rFonts w:ascii="Arial" w:cs="Arial" w:eastAsia="Arial" w:hAnsi="Arial"/>
        <w:color w:val="334155"/>
        <w:sz w:val="17"/>
        <w:szCs w:val="17"/>
      </w:rPr>
      <w:t xml:space="preserve"> of </w:t>
    </w:r>
    <w:r>
      <w:rPr>
        <w:rFonts w:ascii="Arial" w:cs="Arial" w:eastAsia="Arial" w:hAnsi="Arial"/>
        <w:color w:val="0F205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057" w:sz="6" w:space="1"/>
      </w:pBdr>
      <w:tabs>
        <w:tab w:val="right" w:pos="9026"/>
      </w:tabs>
      <w:spacing w:after="100" w:before="0"/>
    </w:pPr>
    <w:r>
      <w:rPr>
        <w:rFonts w:ascii="Arial" w:cs="Arial" w:eastAsia="Arial" w:hAnsi="Arial"/>
        <w:color w:val="0F2057"/>
        <w:sz w:val="17"/>
        <w:szCs w:val="17"/>
      </w:rPr>
      <w:t xml:space="preserve">Student Dataset Technical Report  |  Kelas Ibnu Khaldun</w:t>
    </w:r>
    <w:r>
      <w:rPr>
        <w:rFonts w:ascii="Arial" w:cs="Arial" w:eastAsia="Arial" w:hAnsi="Arial"/>
        <w:color w:val="334155"/>
        <w:sz w:val="17"/>
        <w:szCs w:val="17"/>
      </w:rPr>
      <w:t xml:space="preserve">	SBP Integrasi Kuantan  ·  PRESTIJ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5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2026-06-25T21:48:28.392Z</dcterms:created>
  <dcterms:modified xsi:type="dcterms:W3CDTF">2026-06-25T21:48:28.393Z</dcterms:modified>
</cp:coreProperties>
</file>

<file path=docProps/custom.xml><?xml version="1.0" encoding="utf-8"?>
<Properties xmlns="http://schemas.openxmlformats.org/officeDocument/2006/custom-properties" xmlns:vt="http://schemas.openxmlformats.org/officeDocument/2006/docPropsVTypes"/>
</file>