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600"/>
      </w:pPr>
      <w:r>
        <w:t xml:space="preserve"/>
      </w:r>
    </w:p>
    <w:p>
      <w:pPr>
        <w:pBdr>
          <w:bottom w:val="single" w:color="0F2057" w:sz="8" w:space="1"/>
        </w:pBdr>
        <w:spacing w:after="200" w:before="0"/>
        <w:jc w:val="center"/>
      </w:pPr>
      <w:r>
        <w:rPr>
          <w:rFonts w:ascii="Arial" w:cs="Arial" w:eastAsia="Arial" w:hAnsi="Arial"/>
          <w:b/>
          <w:bCs/>
          <w:caps/>
          <w:color w:val="0F2057"/>
          <w:sz w:val="22"/>
          <w:szCs w:val="22"/>
        </w:rPr>
        <w:t xml:space="preserve">KEMENTERIAN PENDIDIKAN MALAYSIA</w:t>
      </w:r>
    </w:p>
    <w:p>
      <w:pPr>
        <w:spacing w:after="80" w:before="0"/>
        <w:jc w:val="center"/>
      </w:pPr>
      <w:r>
        <w:rPr>
          <w:rFonts w:ascii="Arial" w:cs="Arial" w:eastAsia="Arial" w:hAnsi="Arial"/>
          <w:color w:val="1A56DB"/>
          <w:sz w:val="20"/>
          <w:szCs w:val="20"/>
        </w:rPr>
        <w:t xml:space="preserve">DELIMa Platform  ·  PRESTIJ Programme</w:t>
      </w:r>
    </w:p>
    <w:p>
      <w:pPr>
        <w:spacing w:after="0" w:before="0" w:line="1200"/>
      </w:pPr>
      <w:r>
        <w:t xml:space="preserve"/>
      </w:r>
    </w:p>
    <w:p>
      <w:pPr>
        <w:shd w:fill="0F2057" w:val="clear"/>
        <w:spacing w:after="200" w:before="200"/>
        <w:jc w:val="center"/>
      </w:pPr>
      <w:r>
        <w:rPr>
          <w:rFonts w:ascii="Arial" w:cs="Arial" w:eastAsia="Arial" w:hAnsi="Arial"/>
          <w:b/>
          <w:bCs/>
          <w:caps/>
          <w:color w:val="FFFFFF"/>
          <w:sz w:val="52"/>
          <w:szCs w:val="52"/>
        </w:rPr>
        <w:t xml:space="preserve">TECH STACK DOCUMENTATION</w:t>
      </w:r>
    </w:p>
    <w:p>
      <w:pPr>
        <w:shd w:fill="1A56DB" w:val="clear"/>
        <w:spacing w:after="0" w:before="0"/>
        <w:jc w:val="center"/>
      </w:pPr>
      <w:r>
        <w:rPr>
          <w:rFonts w:ascii="Arial" w:cs="Arial" w:eastAsia="Arial" w:hAnsi="Arial"/>
          <w:b/>
          <w:bCs/>
          <w:color w:val="FFFFFF"/>
          <w:sz w:val="26"/>
          <w:szCs w:val="26"/>
        </w:rPr>
        <w:t xml:space="preserve">Agentic AI-Powered Scholarship Matching System</w:t>
      </w:r>
    </w:p>
    <w:p>
      <w:pPr>
        <w:spacing w:after="0" w:before="0" w:line="1600"/>
      </w:pPr>
      <w:r>
        <w:t xml:space="preserve"/>
      </w:r>
    </w:p>
    <w:p>
      <w:pPr>
        <w:spacing w:after="80" w:before="0"/>
        <w:jc w:val="center"/>
      </w:pPr>
      <w:r>
        <w:rPr>
          <w:rFonts w:ascii="Arial" w:cs="Arial" w:eastAsia="Arial" w:hAnsi="Arial"/>
          <w:color w:val="334155"/>
          <w:sz w:val="20"/>
          <w:szCs w:val="20"/>
        </w:rPr>
        <w:t xml:space="preserve">Prepared for:</w:t>
      </w:r>
    </w:p>
    <w:p>
      <w:pPr>
        <w:spacing w:after="40" w:before="0"/>
        <w:jc w:val="center"/>
      </w:pPr>
      <w:r>
        <w:rPr>
          <w:rFonts w:ascii="Arial" w:cs="Arial" w:eastAsia="Arial" w:hAnsi="Arial"/>
          <w:b/>
          <w:bCs/>
          <w:color w:val="0F2057"/>
          <w:sz w:val="28"/>
          <w:szCs w:val="28"/>
        </w:rPr>
        <w:t xml:space="preserve">SBP Integrasi Kuantan</w:t>
      </w:r>
    </w:p>
    <w:p>
      <w:pPr>
        <w:spacing w:after="200" w:before="0"/>
        <w:jc w:val="center"/>
      </w:pPr>
      <w:r>
        <w:rPr>
          <w:rFonts w:ascii="Arial" w:cs="Arial" w:eastAsia="Arial" w:hAnsi="Arial"/>
          <w:color w:val="334155"/>
          <w:sz w:val="22"/>
          <w:szCs w:val="22"/>
        </w:rPr>
        <w:t xml:space="preserve">Kelas Ibnu Khaldun  |  Sesi 2025/2026</w:t>
      </w:r>
    </w:p>
    <w:p>
      <w:pPr>
        <w:pBdr>
          <w:bottom w:val="single" w:color="0F2057" w:sz="6" w:space="1"/>
        </w:pBdr>
        <w:spacing w:after="40" w:before="40"/>
      </w:pPr>
      <w:r>
        <w:t xml:space="preserve"/>
      </w:r>
    </w:p>
    <w:p>
      <w:pPr>
        <w:spacing w:after="0" w:before="0" w:line="8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Document Type</w:t>
            </w:r>
          </w:p>
        </w:tc>
        <w:tc>
          <w:tcPr>
            <w:tcW w:type="dxa" w:w="4873"/>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Technical Documentation</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Version</w:t>
            </w:r>
          </w:p>
        </w:tc>
        <w:tc>
          <w:tcPr>
            <w:tcW w:type="dxa" w:w="4873"/>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v1.0  (June 2026)</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Programme</w:t>
            </w:r>
          </w:p>
        </w:tc>
        <w:tc>
          <w:tcPr>
            <w:tcW w:type="dxa" w:w="4873"/>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PRESTIJ — DELIMa KPM</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Target Audience</w:t>
            </w:r>
          </w:p>
        </w:tc>
        <w:tc>
          <w:tcPr>
            <w:tcW w:type="dxa" w:w="4873"/>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Trainers, Counsellors, Programme Evaluators</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Development Tool</w:t>
            </w:r>
          </w:p>
        </w:tc>
        <w:tc>
          <w:tcPr>
            <w:tcW w:type="dxa" w:w="4873"/>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Claude Code (Anthropic AI)</w:t>
            </w:r>
          </w:p>
        </w:tc>
      </w:tr>
    </w:tbl>
    <w:p>
      <w:r>
        <w:br w:type="page"/>
      </w:r>
    </w:p>
    <w:p>
      <w:pPr>
        <w:pStyle w:val="Heading1"/>
        <w:spacing w:after="160" w:before="0"/>
      </w:pPr>
      <w:r>
        <w:rPr>
          <w:rFonts w:ascii="Arial" w:cs="Arial" w:eastAsia="Arial" w:hAnsi="Arial"/>
          <w:b/>
          <w:bCs/>
          <w:color w:val="0F205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bookmarkStart w:name="exec" w:id="1"/>
      <w:r>
        <w:rPr>
          <w:rFonts w:ascii="Arial" w:cs="Arial" w:eastAsia="Arial" w:hAnsi="Arial"/>
          <w:b/>
          <w:bCs/>
          <w:color w:val="0F2057"/>
          <w:sz w:val="32"/>
          <w:szCs w:val="32"/>
        </w:rPr>
        <w:t xml:space="preserve">1.  Executive Summary</w:t>
      </w:r>
      <w:bookmarkEnd w:id="1"/>
    </w:p>
    <w:p>
      <w:pPr>
        <w:pBdr>
          <w:bottom w:val="single" w:color="E2E8F0" w:sz="6" w:space="1"/>
        </w:pBdr>
        <w:spacing w:after="40" w:before="40"/>
      </w:pPr>
      <w:r>
        <w:t xml:space="preserve"/>
      </w:r>
    </w:p>
    <w:p>
      <w:pPr>
        <w:spacing w:after="60" w:before="60"/>
      </w:pPr>
      <w:r>
        <w:rPr>
          <w:rFonts w:ascii="Arial" w:cs="Arial" w:eastAsia="Arial" w:hAnsi="Arial"/>
          <w:b w:val="false"/>
          <w:bCs w:val="false"/>
          <w:color w:val="334155"/>
          <w:sz w:val="22"/>
          <w:szCs w:val="22"/>
        </w:rPr>
        <w:t xml:space="preserve">The Agentic AI-Powered Scholarship Matching System is a client-side web application developed under the PRESTIJ Programme on the DELIMa KPM platform. It automates the process of identifying the most suitable post-SPM scholarships for students based on five data dimensions: academic performance, co-curricular achievement, psychometric profile, career aspiration, and family income background.</w:t>
      </w:r>
    </w:p>
    <w:p>
      <w:pPr>
        <w:spacing w:after="0" w:before="0" w:line="80"/>
      </w:pPr>
      <w:r>
        <w:t xml:space="preserve"/>
      </w:r>
    </w:p>
    <w:p>
      <w:pPr>
        <w:spacing w:after="60" w:before="60"/>
      </w:pPr>
      <w:r>
        <w:rPr>
          <w:rFonts w:ascii="Arial" w:cs="Arial" w:eastAsia="Arial" w:hAnsi="Arial"/>
          <w:b w:val="false"/>
          <w:bCs w:val="false"/>
          <w:color w:val="334155"/>
          <w:sz w:val="22"/>
          <w:szCs w:val="22"/>
        </w:rPr>
        <w:t xml:space="preserve">The system covers 50 students from Kelas Ibnu Khaldun, SBP Integrasi Kuantan (Session 2025/2026), each identified via a secure login using a unique Student ID and confidential password (SULIT). Upon login, the system loads the student's real data from five Excel datasets and runs a three-agent AI pipeline to produce a personalised ranked list of scholarship recommendations.</w:t>
      </w:r>
    </w:p>
    <w:p>
      <w:pPr>
        <w:spacing w:after="0" w:before="0"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Attribute</w:t>
            </w:r>
          </w:p>
        </w:tc>
        <w:tc>
          <w:tcPr>
            <w:tcW w:type="dxa" w:w="67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Details</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System Name</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Agentic AI-Powered Scholarship Matching System</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Platform</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DELIMa KPM — PRESTIJ Programme</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School</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SBP Integrasi Kuantan — Kelas Ibnu Khaldun</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Students Covered</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50 students (SBP5IK001 – SBP5IK050)</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Scholarships Matched</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10 scholarships (Biasiswa v3 Dataset)</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AI Architecture</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3-Agent pipeline (Profiling → Matching → Recommendation)</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Data Compliance</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PDPA 2010 — Student IDs &amp; Passwords are SULIT (confidential)</w:t>
            </w:r>
          </w:p>
        </w:tc>
      </w:tr>
    </w:tbl>
    <w:p>
      <w:r>
        <w:br w:type="page"/>
      </w:r>
    </w:p>
    <w:p>
      <w:pPr>
        <w:pStyle w:val="Heading1"/>
        <w:spacing w:after="160" w:before="320"/>
      </w:pPr>
      <w:bookmarkStart w:name="sysoverview" w:id="1"/>
      <w:r>
        <w:rPr>
          <w:rFonts w:ascii="Arial" w:cs="Arial" w:eastAsia="Arial" w:hAnsi="Arial"/>
          <w:b/>
          <w:bCs/>
          <w:color w:val="0F2057"/>
          <w:sz w:val="32"/>
          <w:szCs w:val="32"/>
        </w:rPr>
        <w:t xml:space="preserve">2.  System Overview</w:t>
      </w:r>
      <w:bookmarkEnd w:id="1"/>
    </w:p>
    <w:p>
      <w:pPr>
        <w:pBdr>
          <w:bottom w:val="single" w:color="E2E8F0" w:sz="6" w:space="1"/>
        </w:pBdr>
        <w:spacing w:after="40" w:before="40"/>
      </w:pPr>
      <w:r>
        <w:t xml:space="preserve"/>
      </w:r>
    </w:p>
    <w:p>
      <w:pPr>
        <w:spacing w:after="60" w:before="60"/>
      </w:pPr>
      <w:r>
        <w:rPr>
          <w:rFonts w:ascii="Arial" w:cs="Arial" w:eastAsia="Arial" w:hAnsi="Arial"/>
          <w:b w:val="false"/>
          <w:bCs w:val="false"/>
          <w:color w:val="334155"/>
          <w:sz w:val="22"/>
          <w:szCs w:val="22"/>
        </w:rPr>
        <w:t xml:space="preserve">The diagram below illustrates the six-stage operational flow of the system, from student login through to the delivery of scholarship recommendations.</w:t>
      </w:r>
    </w:p>
    <w:p>
      <w:pPr>
        <w:spacing w:after="0" w:before="0" w:lin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846"/>
      </w:tblGrid>
      <w:tr>
        <w:tc>
          <w:tcPr>
            <w:tcW w:type="dxa" w:w="7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Step</w:t>
            </w:r>
          </w:p>
        </w:tc>
        <w:tc>
          <w:tcPr>
            <w:tcW w:type="dxa" w:w="2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Stage</w:t>
            </w:r>
          </w:p>
        </w:tc>
        <w:tc>
          <w:tcPr>
            <w:tcW w:type="dxa" w:w="68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Description</w:t>
            </w:r>
          </w:p>
        </w:tc>
      </w:tr>
      <w:tr>
        <w:tc>
          <w:tcPr>
            <w:tcW w:type="dxa" w:w="7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2"/>
                <w:szCs w:val="22"/>
              </w:rPr>
              <w:t xml:space="preserve">1</w:t>
            </w:r>
          </w:p>
        </w:tc>
        <w:tc>
          <w:tcPr>
            <w:tcW w:type="dxa" w:w="22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Student Login</w:t>
            </w:r>
          </w:p>
        </w:tc>
        <w:tc>
          <w:tcPr>
            <w:tcW w:type="dxa" w:w="68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The student enters their unique Student ID and confidential password (SULIT). The system authenticates the credentials and loads only that student's data — no other student's records are accessible.</w:t>
            </w:r>
          </w:p>
        </w:tc>
      </w:tr>
      <w:tr>
        <w:tc>
          <w:tcPr>
            <w:tcW w:type="dxa" w:w="7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2"/>
                <w:szCs w:val="22"/>
              </w:rPr>
              <w:t xml:space="preserve">2</w:t>
            </w:r>
          </w:p>
        </w:tc>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Frontend Interface</w:t>
            </w:r>
          </w:p>
        </w:tc>
        <w:tc>
          <w:tcPr>
            <w:tcW w:type="dxa" w:w="6846"/>
            <w:gridSpan w:val="1"/>
            <w:tcBorders>
              <w:top w:val="single" w:color="E2E8F0" w:sz="4"/>
              <w:left w:val="single" w:color="E2E8F0" w:sz="4"/>
              <w:bottom w:val="single" w:color="E2E8F0" w:sz="4"/>
              <w:right w:val="single" w:color="E2E8F0" w:sz="4"/>
            </w:tcBorders>
            <w:shd w:fill="F8FA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A React Single Page Application (SPA) styled to the DELIMa KPM design system presents the student's profile, scholarship dashboard, agent pipeline, and recommendation report.</w:t>
            </w:r>
          </w:p>
        </w:tc>
      </w:tr>
      <w:tr>
        <w:tc>
          <w:tcPr>
            <w:tcW w:type="dxa" w:w="7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2"/>
                <w:szCs w:val="22"/>
              </w:rPr>
              <w:t xml:space="preserve">3</w:t>
            </w:r>
          </w:p>
        </w:tc>
        <w:tc>
          <w:tcPr>
            <w:tcW w:type="dxa" w:w="22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Client-Side Logic</w:t>
            </w:r>
          </w:p>
        </w:tc>
        <w:tc>
          <w:tcPr>
            <w:tcW w:type="dxa" w:w="68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All data processing and matching logic runs entirely within the user's web browser. There is no separate backend server or API. The system operates as a standalone client-side application.</w:t>
            </w:r>
          </w:p>
        </w:tc>
      </w:tr>
      <w:tr>
        <w:tc>
          <w:tcPr>
            <w:tcW w:type="dxa" w:w="7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2"/>
                <w:szCs w:val="22"/>
              </w:rPr>
              <w:t xml:space="preserve">4</w:t>
            </w:r>
          </w:p>
        </w:tc>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Dataset Loading</w:t>
            </w:r>
          </w:p>
        </w:tc>
        <w:tc>
          <w:tcPr>
            <w:tcW w:type="dxa" w:w="6846"/>
            <w:gridSpan w:val="1"/>
            <w:tcBorders>
              <w:top w:val="single" w:color="E2E8F0" w:sz="4"/>
              <w:left w:val="single" w:color="E2E8F0" w:sz="4"/>
              <w:bottom w:val="single" w:color="E2E8F0" w:sz="4"/>
              <w:right w:val="single" w:color="E2E8F0" w:sz="4"/>
            </w:tcBorders>
            <w:shd w:fill="F8FA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Five Excel (.xlsx) files — covering SPM results, PAJSK co-curricular data, psychometric IMK scores, family income, and scholarship details — are pre-processed and embedded into the application at build time as TypeScript data files.</w:t>
            </w:r>
          </w:p>
        </w:tc>
      </w:tr>
      <w:tr>
        <w:tc>
          <w:tcPr>
            <w:tcW w:type="dxa" w:w="7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2"/>
                <w:szCs w:val="22"/>
              </w:rPr>
              <w:t xml:space="preserve">5</w:t>
            </w:r>
          </w:p>
        </w:tc>
        <w:tc>
          <w:tcPr>
            <w:tcW w:type="dxa" w:w="22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3 AI Agents Execute</w:t>
            </w:r>
          </w:p>
        </w:tc>
        <w:tc>
          <w:tcPr>
            <w:tcW w:type="dxa" w:w="68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A sequential three-agent pipeline runs in-browser: Agent 1 consolidates the student profile; Agent 2 matches the profile against ten scholarships; Agent 3 generates ranked recommendations with reasoning.</w:t>
            </w:r>
          </w:p>
        </w:tc>
      </w:tr>
      <w:tr>
        <w:tc>
          <w:tcPr>
            <w:tcW w:type="dxa" w:w="7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2"/>
                <w:szCs w:val="22"/>
              </w:rPr>
              <w:t xml:space="preserve">6</w:t>
            </w:r>
          </w:p>
        </w:tc>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Output Delivered</w:t>
            </w:r>
          </w:p>
        </w:tc>
        <w:tc>
          <w:tcPr>
            <w:tcW w:type="dxa" w:w="6846"/>
            <w:gridSpan w:val="1"/>
            <w:tcBorders>
              <w:top w:val="single" w:color="E2E8F0" w:sz="4"/>
              <w:left w:val="single" w:color="E2E8F0" w:sz="4"/>
              <w:bottom w:val="single" w:color="E2E8F0" w:sz="4"/>
              <w:right w:val="single" w:color="E2E8F0" w:sz="4"/>
            </w:tcBorders>
            <w:shd w:fill="F8FA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The student receives a personalised ranked list of scholarships complete with match scores, eligibility status, and specific reasons for each recommendation.</w:t>
            </w:r>
          </w:p>
        </w:tc>
      </w:tr>
    </w:tbl>
    <w:p>
      <w:r>
        <w:br w:type="page"/>
      </w:r>
    </w:p>
    <w:p>
      <w:pPr>
        <w:pStyle w:val="Heading1"/>
        <w:spacing w:after="160" w:before="320"/>
      </w:pPr>
      <w:bookmarkStart w:name="techstack" w:id="1"/>
      <w:r>
        <w:rPr>
          <w:rFonts w:ascii="Arial" w:cs="Arial" w:eastAsia="Arial" w:hAnsi="Arial"/>
          <w:b/>
          <w:bCs/>
          <w:color w:val="0F2057"/>
          <w:sz w:val="32"/>
          <w:szCs w:val="32"/>
        </w:rPr>
        <w:t xml:space="preserve">3.  Tech Stack Components</w:t>
      </w:r>
      <w:bookmarkEnd w:id="1"/>
    </w:p>
    <w:p>
      <w:pPr>
        <w:pBdr>
          <w:bottom w:val="single" w:color="E2E8F0" w:sz="6" w:space="1"/>
        </w:pBdr>
        <w:spacing w:after="40" w:before="40"/>
      </w:pPr>
      <w:r>
        <w:t xml:space="preserve"/>
      </w:r>
    </w:p>
    <w:p>
      <w:pPr>
        <w:spacing w:after="60" w:before="60"/>
      </w:pPr>
      <w:r>
        <w:rPr>
          <w:rFonts w:ascii="Arial" w:cs="Arial" w:eastAsia="Arial" w:hAnsi="Arial"/>
          <w:b w:val="false"/>
          <w:bCs w:val="false"/>
          <w:color w:val="334155"/>
          <w:sz w:val="22"/>
          <w:szCs w:val="22"/>
        </w:rPr>
        <w:t xml:space="preserve">The system is built on five core technology components. Each is described in detail below, including the specific tools and libraries used and the purpose each component serves within the overall architecture.</w:t>
      </w:r>
    </w:p>
    <w:p>
      <w:pPr>
        <w:pStyle w:val="Heading2"/>
        <w:spacing w:after="120" w:before="220"/>
      </w:pPr>
      <w:r>
        <w:rPr>
          <w:rFonts w:ascii="Arial" w:cs="Arial" w:eastAsia="Arial" w:hAnsi="Arial"/>
          <w:b/>
          <w:bCs/>
          <w:color w:val="1A56DB"/>
          <w:sz w:val="26"/>
          <w:szCs w:val="26"/>
        </w:rPr>
        <w:t xml:space="preserve">3.1  Frontend</w:t>
      </w:r>
    </w:p>
    <w:p>
      <w:pPr>
        <w:spacing w:after="80" w:before="80"/>
      </w:pPr>
      <w:r>
        <w:rPr>
          <w:rFonts w:ascii="Arial" w:cs="Arial" w:eastAsia="Arial" w:hAnsi="Arial"/>
          <w:b w:val="false"/>
          <w:bCs w:val="false"/>
          <w:color w:val="334155"/>
          <w:sz w:val="22"/>
          <w:szCs w:val="22"/>
        </w:rPr>
        <w:t xml:space="preserve">The frontend is a modern Single Page Application (SPA) built with React 18 and TypeScript, bundled via Vite 6. It is styled using Tailwind CSS v4 and the Outfit typeface to match the DELIMa KPM design system. Icons are provided by the lucide-react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446"/>
      </w:tblGrid>
      <w:tr>
        <w:tc>
          <w:tcPr>
            <w:tcW w:type="dxa" w:w="28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Technology</w:t>
            </w:r>
          </w:p>
        </w:tc>
        <w:tc>
          <w:tcPr>
            <w:tcW w:type="dxa" w:w="35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Version</w:t>
            </w:r>
          </w:p>
        </w:tc>
        <w:tc>
          <w:tcPr>
            <w:tcW w:type="dxa" w:w="3446"/>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Role</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React</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18</w:t>
            </w:r>
          </w:p>
        </w:tc>
        <w:tc>
          <w:tcPr>
            <w:tcW w:type="dxa" w:w="34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UI component framework</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TypeScript</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5.x</w:t>
            </w:r>
          </w:p>
        </w:tc>
        <w:tc>
          <w:tcPr>
            <w:tcW w:type="dxa" w:w="34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Static typing for reliability</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Vite</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6.x</w:t>
            </w:r>
          </w:p>
        </w:tc>
        <w:tc>
          <w:tcPr>
            <w:tcW w:type="dxa" w:w="34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Build tool and dev server</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Tailwind CSS</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v4 (@import style)</w:t>
            </w:r>
          </w:p>
        </w:tc>
        <w:tc>
          <w:tcPr>
            <w:tcW w:type="dxa" w:w="34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Utility-first styling</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lucide-react</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Latest</w:t>
            </w:r>
          </w:p>
        </w:tc>
        <w:tc>
          <w:tcPr>
            <w:tcW w:type="dxa" w:w="34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Icon library</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Outfit (Google Fonts)</w:t>
            </w:r>
          </w:p>
        </w:tc>
        <w:tc>
          <w:tcPr>
            <w:tcW w:type="dxa" w:w="3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w:t>
            </w:r>
          </w:p>
        </w:tc>
        <w:tc>
          <w:tcPr>
            <w:tcW w:type="dxa" w:w="34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DELIMa brand typeface</w:t>
            </w:r>
          </w:p>
        </w:tc>
      </w:tr>
    </w:tbl>
    <w:p>
      <w:pPr>
        <w:spacing w:after="0" w:before="0" w:line="160"/>
      </w:pPr>
      <w:r>
        <w:t xml:space="preserve"/>
      </w:r>
    </w:p>
    <w:p>
      <w:pPr>
        <w:pStyle w:val="Heading2"/>
        <w:spacing w:after="120" w:before="220"/>
      </w:pPr>
      <w:r>
        <w:rPr>
          <w:rFonts w:ascii="Arial" w:cs="Arial" w:eastAsia="Arial" w:hAnsi="Arial"/>
          <w:b/>
          <w:bCs/>
          <w:color w:val="1A56DB"/>
          <w:sz w:val="26"/>
          <w:szCs w:val="26"/>
        </w:rPr>
        <w:t xml:space="preserve">3.2  Backend</w:t>
      </w:r>
    </w:p>
    <w:p>
      <w:pPr>
        <w:spacing w:after="80" w:before="80"/>
      </w:pPr>
      <w:r>
        <w:rPr>
          <w:rFonts w:ascii="Arial" w:cs="Arial" w:eastAsia="Arial" w:hAnsi="Arial"/>
          <w:b w:val="false"/>
          <w:bCs w:val="false"/>
          <w:color w:val="334155"/>
          <w:sz w:val="22"/>
          <w:szCs w:val="22"/>
        </w:rPr>
        <w:t xml:space="preserve">This system has no separate backend server. All application logic, data processing, and scholarship matching runs entirely within the user's web browser (client-side). There is no Python server, REST API, or database connection. This architecture was chosen for simplicity, portability, and ease of deployment within the DELIMa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Item</w:t>
            </w:r>
          </w:p>
        </w:tc>
        <w:tc>
          <w:tcPr>
            <w:tcW w:type="dxa" w:w="6546"/>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Detail</w:t>
            </w:r>
          </w:p>
        </w:tc>
      </w:tr>
      <w:tr>
        <w:tc>
          <w:tcPr>
            <w:tcW w:type="dxa" w:w="3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Architecture</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Client-side only — Single Page Application (SPA)</w:t>
            </w:r>
          </w:p>
        </w:tc>
      </w:tr>
      <w:tr>
        <w:tc>
          <w:tcPr>
            <w:tcW w:type="dxa" w:w="3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Server / API</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None — no Python, no Node.js server, no REST API</w:t>
            </w:r>
          </w:p>
        </w:tc>
      </w:tr>
      <w:tr>
        <w:tc>
          <w:tcPr>
            <w:tcW w:type="dxa" w:w="3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State Management</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React useState, useCallback, useMemo hooks</w:t>
            </w:r>
          </w:p>
        </w:tc>
      </w:tr>
      <w:tr>
        <w:tc>
          <w:tcPr>
            <w:tcW w:type="dxa" w:w="3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Data Access</w:t>
            </w:r>
          </w:p>
        </w:tc>
        <w:tc>
          <w:tcPr>
            <w:tcW w:type="dxa" w:w="6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TypeScript data files (pre-processed from Excel at build time)</w:t>
            </w:r>
          </w:p>
        </w:tc>
      </w:tr>
    </w:tbl>
    <w:p>
      <w:pPr>
        <w:spacing w:after="0" w:before="0" w:line="160"/>
      </w:pPr>
      <w:r>
        <w:t xml:space="preserve"/>
      </w:r>
    </w:p>
    <w:p>
      <w:pPr>
        <w:pStyle w:val="Heading2"/>
        <w:spacing w:after="120" w:before="220"/>
      </w:pPr>
      <w:r>
        <w:rPr>
          <w:rFonts w:ascii="Arial" w:cs="Arial" w:eastAsia="Arial" w:hAnsi="Arial"/>
          <w:b/>
          <w:bCs/>
          <w:color w:val="1A56DB"/>
          <w:sz w:val="26"/>
          <w:szCs w:val="26"/>
        </w:rPr>
        <w:t xml:space="preserve">3.3  Dataset</w:t>
      </w:r>
    </w:p>
    <w:p>
      <w:pPr>
        <w:spacing w:after="80" w:before="80"/>
      </w:pPr>
      <w:r>
        <w:rPr>
          <w:rFonts w:ascii="Arial" w:cs="Arial" w:eastAsia="Arial" w:hAnsi="Arial"/>
          <w:b w:val="false"/>
          <w:bCs w:val="false"/>
          <w:color w:val="334155"/>
          <w:sz w:val="22"/>
          <w:szCs w:val="22"/>
        </w:rPr>
        <w:t xml:space="preserve">All student and scholarship data is sourced from five Microsoft Excel (.xlsx) files. These files were processed and converted into TypeScript data files during the build process. The xlsx npm package was used for parsing. Raw Excel files are stored in the /Data/ directory.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3946"/>
      </w:tblGrid>
      <w:tr>
        <w:tc>
          <w:tcPr>
            <w:tcW w:type="dxa" w:w="20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Dataset</w:t>
            </w:r>
          </w:p>
        </w:tc>
        <w:tc>
          <w:tcPr>
            <w:tcW w:type="dxa" w:w="26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File Name</w:t>
            </w:r>
          </w:p>
        </w:tc>
        <w:tc>
          <w:tcPr>
            <w:tcW w:type="dxa" w:w="12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Records</w:t>
            </w:r>
          </w:p>
        </w:tc>
        <w:tc>
          <w:tcPr>
            <w:tcW w:type="dxa" w:w="3946"/>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Contents</w:t>
            </w:r>
          </w:p>
        </w:tc>
      </w:tr>
      <w:tr>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SPM Results</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Peperiksaan_SPM_IbnuKhaldun_DUMMY_v4.xlsx</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 students</w:t>
            </w:r>
          </w:p>
        </w:tc>
        <w:tc>
          <w:tcPr>
            <w:tcW w:type="dxa" w:w="3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Student ID, password, gender, SPM grades (9 subjects), GP score</w:t>
            </w:r>
          </w:p>
        </w:tc>
      </w:tr>
      <w:tr>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 Co-curricular</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DATA_PAJSK_5IK_DUMMY_v3.xlsx</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 students</w:t>
            </w:r>
          </w:p>
        </w:tc>
        <w:tc>
          <w:tcPr>
            <w:tcW w:type="dxa" w:w="3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Sports, club, uniformed body, positions, peringkat, markah, pencapaian</w:t>
            </w:r>
          </w:p>
        </w:tc>
      </w:tr>
      <w:tr>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Psychometric (IMK)</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IMK_IbnuKhaldun_DUMMY_v3.xlsx</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 students</w:t>
            </w:r>
          </w:p>
        </w:tc>
        <w:tc>
          <w:tcPr>
            <w:tcW w:type="dxa" w:w="3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RIASEC Holland Code scores (R, I, A, S, E, K) and top-3 code</w:t>
            </w:r>
          </w:p>
        </w:tc>
      </w:tr>
      <w:tr>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Family Income</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Income_Penjaga_5IK_DUMMY_v1.xlsx</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 students</w:t>
            </w:r>
          </w:p>
        </w:tc>
        <w:tc>
          <w:tcPr>
            <w:tcW w:type="dxa" w:w="3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Monthly per-capita income (RM) → B40 / M40 / T20 classification</w:t>
            </w:r>
          </w:p>
        </w:tc>
      </w:tr>
      <w:tr>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Scholarship Data</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Dataset_Biasiswa_PRESTIJ_v3.xlsx</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10 scholarships</w:t>
            </w:r>
          </w:p>
        </w:tc>
        <w:tc>
          <w:tcPr>
            <w:tcW w:type="dxa" w:w="3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Scholarship name, provider, GP threshold, PAJSK minimum, RIASEC fit, income requirement</w:t>
            </w:r>
          </w:p>
        </w:tc>
      </w:tr>
    </w:tbl>
    <w:p>
      <w:pPr>
        <w:spacing w:after="0" w:before="0" w:line="160"/>
      </w:pPr>
      <w:r>
        <w:t xml:space="preserve"/>
      </w:r>
    </w:p>
    <w:p>
      <w:pPr>
        <w:pStyle w:val="Heading2"/>
        <w:spacing w:after="120" w:before="220"/>
      </w:pPr>
      <w:r>
        <w:rPr>
          <w:rFonts w:ascii="Arial" w:cs="Arial" w:eastAsia="Arial" w:hAnsi="Arial"/>
          <w:b/>
          <w:bCs/>
          <w:color w:val="1A56DB"/>
          <w:sz w:val="26"/>
          <w:szCs w:val="26"/>
        </w:rPr>
        <w:t xml:space="preserve">3.4  AI Agents</w:t>
      </w:r>
    </w:p>
    <w:p>
      <w:pPr>
        <w:spacing w:after="80" w:before="80"/>
      </w:pPr>
      <w:r>
        <w:rPr>
          <w:rFonts w:ascii="Arial" w:cs="Arial" w:eastAsia="Arial" w:hAnsi="Arial"/>
          <w:b w:val="false"/>
          <w:bCs w:val="false"/>
          <w:color w:val="334155"/>
          <w:sz w:val="22"/>
          <w:szCs w:val="22"/>
        </w:rPr>
        <w:t xml:space="preserve">The scholarship matching process is carried out by a pipeline of three AI agents that execute sequentially in the browser. Each agent receives the output of the previous agent as its input. The pipeline is fully deterministic — no external AI API calls are made at runtime.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3246"/>
      </w:tblGrid>
      <w:tr>
        <w:tc>
          <w:tcPr>
            <w:tcW w:type="dxa" w:w="7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w:t>
            </w:r>
          </w:p>
        </w:tc>
        <w:tc>
          <w:tcPr>
            <w:tcW w:type="dxa" w:w="25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Agent Name</w:t>
            </w:r>
          </w:p>
        </w:tc>
        <w:tc>
          <w:tcPr>
            <w:tcW w:type="dxa" w:w="33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Input</w:t>
            </w:r>
          </w:p>
        </w:tc>
        <w:tc>
          <w:tcPr>
            <w:tcW w:type="dxa" w:w="3246"/>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Output</w:t>
            </w:r>
          </w:p>
        </w:tc>
      </w:tr>
      <w:tr>
        <w:tc>
          <w:tcPr>
            <w:tcW w:type="dxa" w:w="7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2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Student Profiling Agent</w:t>
            </w:r>
          </w:p>
        </w:tc>
        <w:tc>
          <w:tcPr>
            <w:tcW w:type="dxa" w:w="33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student_profile + student_assessment (all 5 datasets)</w:t>
            </w:r>
          </w:p>
        </w:tc>
        <w:tc>
          <w:tcPr>
            <w:tcW w:type="dxa" w:w="32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Consolidated Student Profile (single unified record)</w:t>
            </w:r>
          </w:p>
        </w:tc>
      </w:tr>
      <w:tr>
        <w:tc>
          <w:tcPr>
            <w:tcW w:type="dxa" w:w="7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25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Scholarship Matching Agent</w:t>
            </w:r>
          </w:p>
        </w:tc>
        <w:tc>
          <w:tcPr>
            <w:tcW w:type="dxa" w:w="33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Consolidated Student Profile + scholarship_database (10 scholarships)</w:t>
            </w:r>
          </w:p>
        </w:tc>
        <w:tc>
          <w:tcPr>
            <w:tcW w:type="dxa" w:w="32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Ranked Scholarship Matches (scored list)</w:t>
            </w:r>
          </w:p>
        </w:tc>
      </w:tr>
      <w:tr>
        <w:tc>
          <w:tcPr>
            <w:tcW w:type="dxa" w:w="7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2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Recommendation &amp; Reasoning Agent</w:t>
            </w:r>
          </w:p>
        </w:tc>
        <w:tc>
          <w:tcPr>
            <w:tcW w:type="dxa" w:w="33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Ranked Scholarship Matches (from Agent 2)</w:t>
            </w:r>
          </w:p>
        </w:tc>
        <w:tc>
          <w:tcPr>
            <w:tcW w:type="dxa" w:w="32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recommendation_output (ranked list + reasons + eligibility)</w:t>
            </w:r>
          </w:p>
        </w:tc>
      </w:tr>
    </w:tbl>
    <w:p>
      <w:pPr>
        <w:spacing w:after="0" w:before="0" w:line="160"/>
      </w:pPr>
      <w:r>
        <w:t xml:space="preserve"/>
      </w:r>
    </w:p>
    <w:p>
      <w:pPr>
        <w:pStyle w:val="Heading2"/>
        <w:spacing w:after="120" w:before="220"/>
      </w:pPr>
      <w:r>
        <w:rPr>
          <w:rFonts w:ascii="Arial" w:cs="Arial" w:eastAsia="Arial" w:hAnsi="Arial"/>
          <w:b/>
          <w:bCs/>
          <w:color w:val="1A56DB"/>
          <w:sz w:val="26"/>
          <w:szCs w:val="26"/>
        </w:rPr>
        <w:t xml:space="preserve">3.5  Development Tool</w:t>
      </w:r>
    </w:p>
    <w:p>
      <w:pPr>
        <w:spacing w:after="80" w:before="80"/>
      </w:pPr>
      <w:r>
        <w:rPr>
          <w:rFonts w:ascii="Arial" w:cs="Arial" w:eastAsia="Arial" w:hAnsi="Arial"/>
          <w:b w:val="false"/>
          <w:bCs w:val="false"/>
          <w:color w:val="334155"/>
          <w:sz w:val="22"/>
          <w:szCs w:val="22"/>
        </w:rPr>
        <w:t xml:space="preserve">The entire system was designed, developed, and debugged using Claude Code — an AI coding assistant developed by Anthropic. Claude Code assisted with TypeScript implementation, Excel data integration, React component architecture, and 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Tool</w:t>
            </w:r>
          </w:p>
        </w:tc>
        <w:tc>
          <w:tcPr>
            <w:tcW w:type="dxa" w:w="6746"/>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Details</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Claude Code</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Anthropic AI — primary development assistant (code, debug, data integration)</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Visual Studio Code</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Code editor and terminal environment</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Node.js / npm</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JavaScript runtime and package management</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xlsx (npm package)</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Excel .xlsx parsing for data extraction</w:t>
            </w:r>
          </w:p>
        </w:tc>
      </w:tr>
    </w:tbl>
    <w:p>
      <w:r>
        <w:br w:type="page"/>
      </w:r>
    </w:p>
    <w:p>
      <w:pPr>
        <w:pStyle w:val="Heading1"/>
        <w:spacing w:after="160" w:before="320"/>
      </w:pPr>
      <w:bookmarkStart w:name="agents" w:id="1"/>
      <w:r>
        <w:rPr>
          <w:rFonts w:ascii="Arial" w:cs="Arial" w:eastAsia="Arial" w:hAnsi="Arial"/>
          <w:b/>
          <w:bCs/>
          <w:color w:val="0F2057"/>
          <w:sz w:val="32"/>
          <w:szCs w:val="32"/>
        </w:rPr>
        <w:t xml:space="preserve">4.  3-Agent AI Pipeline</w:t>
      </w:r>
      <w:bookmarkEnd w:id="1"/>
    </w:p>
    <w:p>
      <w:pPr>
        <w:pBdr>
          <w:bottom w:val="single" w:color="E2E8F0" w:sz="6" w:space="1"/>
        </w:pBdr>
        <w:spacing w:after="40" w:before="40"/>
      </w:pPr>
      <w:r>
        <w:t xml:space="preserve"/>
      </w:r>
    </w:p>
    <w:p>
      <w:pPr>
        <w:spacing w:after="60" w:before="60"/>
      </w:pPr>
      <w:r>
        <w:rPr>
          <w:rFonts w:ascii="Arial" w:cs="Arial" w:eastAsia="Arial" w:hAnsi="Arial"/>
          <w:b w:val="false"/>
          <w:bCs w:val="false"/>
          <w:color w:val="334155"/>
          <w:sz w:val="22"/>
          <w:szCs w:val="22"/>
        </w:rPr>
        <w:t xml:space="preserve">The scholarship matching process follows a strict sequential pipeline. Each of the three agents performs a distinct role and passes its output directly to the next agent. The pipeline runs entirely in the browser with no external API calls.</w:t>
      </w:r>
    </w:p>
    <w:p>
      <w:pPr>
        <w:spacing w:after="0" w:before="0" w:line="160"/>
      </w:pPr>
      <w:r>
        <w:t xml:space="preserve"/>
      </w:r>
    </w:p>
    <w:p>
      <w:pPr>
        <w:pStyle w:val="Heading2"/>
        <w:spacing w:after="120" w:before="220"/>
      </w:pPr>
      <w:r>
        <w:rPr>
          <w:rFonts w:ascii="Arial" w:cs="Arial" w:eastAsia="Arial" w:hAnsi="Arial"/>
          <w:b/>
          <w:bCs/>
          <w:color w:val="1A56DB"/>
          <w:sz w:val="26"/>
          <w:szCs w:val="26"/>
        </w:rPr>
        <w:t xml:space="preserve">4.1  Agent 1 — Student Profiling Agent</w:t>
      </w:r>
    </w:p>
    <w:p>
      <w:pPr>
        <w:spacing w:after="80" w:before="60"/>
      </w:pPr>
      <w:r>
        <w:rPr>
          <w:rFonts w:ascii="Arial" w:cs="Arial" w:eastAsia="Arial" w:hAnsi="Arial"/>
          <w:b w:val="false"/>
          <w:bCs w:val="false"/>
          <w:color w:val="334155"/>
          <w:sz w:val="22"/>
          <w:szCs w:val="22"/>
        </w:rPr>
        <w:t xml:space="preserve">This agent consolidates all raw data from the five datasets into a single, unified student profile that can be evaluated against scholarship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Attribute</w:t>
            </w:r>
          </w:p>
        </w:tc>
        <w:tc>
          <w:tcPr>
            <w:tcW w:type="dxa" w:w="73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Role</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Consolidate all student data into a standardised profile</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Input — student_profile</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SPM grades (9 subjects), GP score, gender, school, ethnicity</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Input — student_assessment</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PAJSK markah/peratus, RIASEC Holland Code, per-capita income (B40/M40/T20), career aspiration</w:t>
            </w:r>
          </w:p>
        </w:tc>
      </w:tr>
      <w:tr>
        <w:tc>
          <w:tcPr>
            <w:tcW w:type="dxa" w:w="2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Output</w:t>
            </w:r>
          </w:p>
        </w:tc>
        <w:tc>
          <w:tcPr>
            <w:tcW w:type="dxa" w:w="73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Consolidated Student Profile — a single unified object combining all input dimensions</w:t>
            </w:r>
          </w:p>
        </w:tc>
      </w:tr>
    </w:tbl>
    <w:p>
      <w:pPr>
        <w:spacing w:after="0" w:before="0" w:line="200"/>
      </w:pPr>
      <w:r>
        <w:t xml:space="preserve"/>
      </w:r>
    </w:p>
    <w:p>
      <w:pPr>
        <w:pStyle w:val="Heading2"/>
        <w:spacing w:after="120" w:before="220"/>
      </w:pPr>
      <w:r>
        <w:rPr>
          <w:rFonts w:ascii="Arial" w:cs="Arial" w:eastAsia="Arial" w:hAnsi="Arial"/>
          <w:b/>
          <w:bCs/>
          <w:color w:val="1A56DB"/>
          <w:sz w:val="26"/>
          <w:szCs w:val="26"/>
        </w:rPr>
        <w:t xml:space="preserve">4.2  Agent 2 — Scholarship Matching Agent</w:t>
      </w:r>
    </w:p>
    <w:p>
      <w:pPr>
        <w:spacing w:after="80" w:before="60"/>
      </w:pPr>
      <w:r>
        <w:rPr>
          <w:rFonts w:ascii="Arial" w:cs="Arial" w:eastAsia="Arial" w:hAnsi="Arial"/>
          <w:b w:val="false"/>
          <w:bCs w:val="false"/>
          <w:color w:val="334155"/>
          <w:sz w:val="22"/>
          <w:szCs w:val="22"/>
        </w:rPr>
        <w:t xml:space="preserve">This agent compares the consolidated student profile against all ten scholarships in the database, calculating a weighted match score for each using five dimensions.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Attribute</w:t>
            </w:r>
          </w:p>
        </w:tc>
        <w:tc>
          <w:tcPr>
            <w:tcW w:type="dxa" w:w="73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Role</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Match student profile against scholarship database and compute scores</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Input</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Consolidated Student Profile (from Agent 1) + scholarship_database (10 scholarships)</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Matching Dimensions</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Academic (35%) · PAJSK (20%) · Psychometric (15%) · Aspiration (15%) · Parent Background (15%)</w:t>
            </w:r>
          </w:p>
        </w:tc>
      </w:tr>
      <w:tr>
        <w:tc>
          <w:tcPr>
            <w:tcW w:type="dxa" w:w="2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Output</w:t>
            </w:r>
          </w:p>
        </w:tc>
        <w:tc>
          <w:tcPr>
            <w:tcW w:type="dxa" w:w="73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Ranked Scholarship Matches — list of scholarships sorted by total match score (0–100)</w:t>
            </w:r>
          </w:p>
        </w:tc>
      </w:tr>
    </w:tbl>
    <w:p>
      <w:pPr>
        <w:spacing w:after="0" w:before="0" w:line="200"/>
      </w:pPr>
      <w:r>
        <w:t xml:space="preserve"/>
      </w:r>
    </w:p>
    <w:p>
      <w:pPr>
        <w:pStyle w:val="Heading2"/>
        <w:spacing w:after="120" w:before="220"/>
      </w:pPr>
      <w:r>
        <w:rPr>
          <w:rFonts w:ascii="Arial" w:cs="Arial" w:eastAsia="Arial" w:hAnsi="Arial"/>
          <w:b/>
          <w:bCs/>
          <w:color w:val="1A56DB"/>
          <w:sz w:val="26"/>
          <w:szCs w:val="26"/>
        </w:rPr>
        <w:t xml:space="preserve">4.3  Agent 3 — Recommendation &amp; Reasoning Agent</w:t>
      </w:r>
    </w:p>
    <w:p>
      <w:pPr>
        <w:spacing w:after="80" w:before="60"/>
      </w:pPr>
      <w:r>
        <w:rPr>
          <w:rFonts w:ascii="Arial" w:cs="Arial" w:eastAsia="Arial" w:hAnsi="Arial"/>
          <w:b w:val="false"/>
          <w:bCs w:val="false"/>
          <w:color w:val="334155"/>
          <w:sz w:val="22"/>
          <w:szCs w:val="22"/>
        </w:rPr>
        <w:t xml:space="preserve">This agent produces the final output — a human-readable ranked scholarship recommendation report with eligibility status and specific reasoning for each scholarship.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Attribute</w:t>
            </w:r>
          </w:p>
        </w:tc>
        <w:tc>
          <w:tcPr>
            <w:tcW w:type="dxa" w:w="73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Detail</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Role</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Generate final recommendations with reasoning and eligibility assessment</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Input</w:t>
            </w:r>
          </w:p>
        </w:tc>
        <w:tc>
          <w:tcPr>
            <w:tcW w:type="dxa" w:w="7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Ranked Scholarship Matches (from Agent 2)</w:t>
            </w:r>
          </w:p>
        </w:tc>
      </w:tr>
      <w:tr>
        <w:tc>
          <w:tcPr>
            <w:tcW w:type="dxa" w:w="2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Output</w:t>
            </w:r>
          </w:p>
        </w:tc>
        <w:tc>
          <w:tcPr>
            <w:tcW w:type="dxa" w:w="73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recommendation_output — ranked list with match score, eligibility flag, and written reasons per scholarship</w:t>
            </w:r>
          </w:p>
        </w:tc>
      </w:tr>
    </w:tbl>
    <w:p>
      <w:r>
        <w:br w:type="page"/>
      </w:r>
    </w:p>
    <w:p>
      <w:pPr>
        <w:pStyle w:val="Heading1"/>
        <w:spacing w:after="160" w:before="320"/>
      </w:pPr>
      <w:bookmarkStart w:name="weights" w:id="1"/>
      <w:r>
        <w:rPr>
          <w:rFonts w:ascii="Arial" w:cs="Arial" w:eastAsia="Arial" w:hAnsi="Arial"/>
          <w:b/>
          <w:bCs/>
          <w:color w:val="0F2057"/>
          <w:sz w:val="32"/>
          <w:szCs w:val="32"/>
        </w:rPr>
        <w:t xml:space="preserve">5.  Matching Weight Distribution</w:t>
      </w:r>
      <w:bookmarkEnd w:id="1"/>
    </w:p>
    <w:p>
      <w:pPr>
        <w:pBdr>
          <w:bottom w:val="single" w:color="E2E8F0" w:sz="6" w:space="1"/>
        </w:pBdr>
        <w:spacing w:after="40" w:before="40"/>
      </w:pPr>
      <w:r>
        <w:t xml:space="preserve"/>
      </w:r>
    </w:p>
    <w:p>
      <w:pPr>
        <w:spacing w:after="60" w:before="60"/>
      </w:pPr>
      <w:r>
        <w:rPr>
          <w:rFonts w:ascii="Arial" w:cs="Arial" w:eastAsia="Arial" w:hAnsi="Arial"/>
          <w:b w:val="false"/>
          <w:bCs w:val="false"/>
          <w:color w:val="334155"/>
          <w:sz w:val="22"/>
          <w:szCs w:val="22"/>
        </w:rPr>
        <w:t xml:space="preserve">The Scholarship Matching Agent (Agent 2) calculates a composite match score (0–100) for each scholarship using five weighted dimensions. The weights reflect the relative importance of each dimension in determining scholarship suitability.</w:t>
      </w:r>
    </w:p>
    <w:p>
      <w:pPr>
        <w:spacing w:after="0" w:before="0" w:lin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5246"/>
      </w:tblGrid>
      <w:tr>
        <w:tc>
          <w:tcPr>
            <w:tcW w:type="dxa" w:w="5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w:t>
            </w:r>
          </w:p>
        </w:tc>
        <w:tc>
          <w:tcPr>
            <w:tcW w:type="dxa" w:w="26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Dimension</w:t>
            </w:r>
          </w:p>
        </w:tc>
        <w:tc>
          <w:tcPr>
            <w:tcW w:type="dxa" w:w="14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8"/>
                <w:szCs w:val="18"/>
              </w:rPr>
              <w:t xml:space="preserve">Weight</w:t>
            </w:r>
          </w:p>
        </w:tc>
        <w:tc>
          <w:tcPr>
            <w:tcW w:type="dxa" w:w="5246"/>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Data Source</w:t>
            </w:r>
          </w:p>
        </w:tc>
      </w:tr>
      <w:tr>
        <w:tc>
          <w:tcPr>
            <w:tcW w:type="dxa" w:w="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Academic Performance</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35%</w:t>
            </w:r>
          </w:p>
        </w:tc>
        <w:tc>
          <w:tcPr>
            <w:tcW w:type="dxa" w:w="52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SPM grades (9 subjects) + GP score — Peperiksaan_SPM_IbnuKhaldun_DUMMY_v4.xlsx</w:t>
            </w:r>
          </w:p>
        </w:tc>
      </w:tr>
      <w:tr>
        <w:tc>
          <w:tcPr>
            <w:tcW w:type="dxa" w:w="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 Co-curricular</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20%</w:t>
            </w:r>
          </w:p>
        </w:tc>
        <w:tc>
          <w:tcPr>
            <w:tcW w:type="dxa" w:w="52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PAJSK markah (out of 110), pencapaian, sukan, kelab, badan beruniform — DATA_PAJSK_5IK_DUMMY_v3.xlsx</w:t>
            </w:r>
          </w:p>
        </w:tc>
      </w:tr>
      <w:tr>
        <w:tc>
          <w:tcPr>
            <w:tcW w:type="dxa" w:w="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Psychometric (RIASEC)</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15%</w:t>
            </w:r>
          </w:p>
        </w:tc>
        <w:tc>
          <w:tcPr>
            <w:tcW w:type="dxa" w:w="52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Holland Code (top-3 RIASEC letters) from Inventori Minat Kerjaya (IMK) — IMK_IbnuKhaldun_DUMMY_v3.xlsx</w:t>
            </w:r>
          </w:p>
        </w:tc>
      </w:tr>
      <w:tr>
        <w:tc>
          <w:tcPr>
            <w:tcW w:type="dxa" w:w="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w:t>
            </w:r>
          </w:p>
        </w:tc>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Career Aspiration</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15%</w:t>
            </w:r>
          </w:p>
        </w:tc>
        <w:tc>
          <w:tcPr>
            <w:tcW w:type="dxa" w:w="52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Dream career + preferred field (derived from RIASEC top code)</w:t>
            </w:r>
          </w:p>
        </w:tc>
      </w:tr>
      <w:tr>
        <w:tc>
          <w:tcPr>
            <w:tcW w:type="dxa" w:w="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5</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Parent/Family Background</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15%</w:t>
            </w:r>
          </w:p>
        </w:tc>
        <w:tc>
          <w:tcPr>
            <w:tcW w:type="dxa" w:w="52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Per-capita income → B40 / M40 / T20 classification — Income_Penjaga_5IK_DUMMY_v1.xlsx</w:t>
            </w:r>
          </w:p>
        </w:tc>
      </w:tr>
      <w:tr>
        <w:tc>
          <w:tcPr>
            <w:tcW w:type="dxa" w:w="5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2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TOTAL</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100%</w:t>
            </w:r>
          </w:p>
        </w:tc>
        <w:tc>
          <w:tcPr>
            <w:tcW w:type="dxa" w:w="52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r>
    </w:tbl>
    <w:p>
      <w:pPr>
        <w:spacing w:after="0" w:before="0" w:line="200"/>
      </w:pPr>
      <w:r>
        <w:t xml:space="preserve"/>
      </w:r>
    </w:p>
    <w:p>
      <w:pPr>
        <w:spacing w:after="60" w:before="100"/>
      </w:pPr>
      <w:r>
        <w:rPr>
          <w:rFonts w:ascii="Arial" w:cs="Arial" w:eastAsia="Arial" w:hAnsi="Arial"/>
          <w:b/>
          <w:bCs/>
          <w:color w:val="334155"/>
          <w:sz w:val="22"/>
          <w:szCs w:val="22"/>
        </w:rPr>
        <w:t xml:space="preserve">Income Classification Thresholds (per-capita monthly, 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46"/>
      </w:tblGrid>
      <w:tr>
        <w:tc>
          <w:tcPr>
            <w:tcW w:type="dxa" w:w="20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Category</w:t>
            </w:r>
          </w:p>
        </w:tc>
        <w:tc>
          <w:tcPr>
            <w:tcW w:type="dxa" w:w="40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Per-Capita Monthly Income (RM)</w:t>
            </w:r>
          </w:p>
        </w:tc>
        <w:tc>
          <w:tcPr>
            <w:tcW w:type="dxa" w:w="3746"/>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Scholarship Eligibility</w:t>
            </w:r>
          </w:p>
        </w:tc>
      </w:tr>
      <w:tr>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B40 (Bottom 40%)</w:t>
            </w:r>
          </w:p>
        </w:tc>
        <w:tc>
          <w:tcPr>
            <w:tcW w:type="dxa" w:w="4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Below RM 1,500</w:t>
            </w:r>
          </w:p>
        </w:tc>
        <w:tc>
          <w:tcPr>
            <w:tcW w:type="dxa" w:w="3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Highest priority for income-based scholarships</w:t>
            </w:r>
          </w:p>
        </w:tc>
      </w:tr>
      <w:tr>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M40 (Middle 40%)</w:t>
            </w:r>
          </w:p>
        </w:tc>
        <w:tc>
          <w:tcPr>
            <w:tcW w:type="dxa" w:w="4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RM 1,500 – RM 4,999</w:t>
            </w:r>
          </w:p>
        </w:tc>
        <w:tc>
          <w:tcPr>
            <w:tcW w:type="dxa" w:w="3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Eligible for most scholarships</w:t>
            </w:r>
          </w:p>
        </w:tc>
      </w:tr>
      <w:tr>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T20 (Top 20%)</w:t>
            </w:r>
          </w:p>
        </w:tc>
        <w:tc>
          <w:tcPr>
            <w:tcW w:type="dxa" w:w="4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RM 5,000 and above</w:t>
            </w:r>
          </w:p>
        </w:tc>
        <w:tc>
          <w:tcPr>
            <w:tcW w:type="dxa" w:w="3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Merit-based scholarships only</w:t>
            </w:r>
          </w:p>
        </w:tc>
      </w:tr>
    </w:tbl>
    <w:p>
      <w:r>
        <w:br w:type="page"/>
      </w:r>
    </w:p>
    <w:p>
      <w:pPr>
        <w:pStyle w:val="Heading1"/>
        <w:spacing w:after="160" w:before="320"/>
      </w:pPr>
      <w:bookmarkStart w:name="scholarships" w:id="1"/>
      <w:r>
        <w:rPr>
          <w:rFonts w:ascii="Arial" w:cs="Arial" w:eastAsia="Arial" w:hAnsi="Arial"/>
          <w:b/>
          <w:bCs/>
          <w:color w:val="0F2057"/>
          <w:sz w:val="32"/>
          <w:szCs w:val="32"/>
        </w:rPr>
        <w:t xml:space="preserve">6.  Scholarship Database</w:t>
      </w:r>
      <w:bookmarkEnd w:id="1"/>
    </w:p>
    <w:p>
      <w:pPr>
        <w:pBdr>
          <w:bottom w:val="single" w:color="E2E8F0" w:sz="6" w:space="1"/>
        </w:pBdr>
        <w:spacing w:after="40" w:before="40"/>
      </w:pPr>
      <w:r>
        <w:t xml:space="preserve"/>
      </w:r>
    </w:p>
    <w:p>
      <w:pPr>
        <w:spacing w:after="60" w:before="60"/>
      </w:pPr>
      <w:r>
        <w:rPr>
          <w:rFonts w:ascii="Arial" w:cs="Arial" w:eastAsia="Arial" w:hAnsi="Arial"/>
          <w:b w:val="false"/>
          <w:bCs w:val="false"/>
          <w:color w:val="334155"/>
          <w:sz w:val="22"/>
          <w:szCs w:val="22"/>
        </w:rPr>
        <w:t xml:space="preserve">The system matches each student against ten scholarships sourced from the Dataset_Biasiswa_PRESTIJ_v3.xlsx file. The table below lists all ten scholarships included in the database.</w:t>
      </w:r>
    </w:p>
    <w:p>
      <w:pPr>
        <w:spacing w:after="0" w:before="0" w:lin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1400"/>
        <w:gridCol w:w="1500"/>
        <w:gridCol w:w="1646"/>
      </w:tblGrid>
      <w:tr>
        <w:tc>
          <w:tcPr>
            <w:tcW w:type="dxa" w:w="8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ID</w:t>
            </w:r>
          </w:p>
        </w:tc>
        <w:tc>
          <w:tcPr>
            <w:tcW w:type="dxa" w:w="28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Scholarship Name</w:t>
            </w:r>
          </w:p>
        </w:tc>
        <w:tc>
          <w:tcPr>
            <w:tcW w:type="dxa" w:w="16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Provider</w:t>
            </w:r>
          </w:p>
        </w:tc>
        <w:tc>
          <w:tcPr>
            <w:tcW w:type="dxa" w:w="14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Category</w:t>
            </w:r>
          </w:p>
        </w:tc>
        <w:tc>
          <w:tcPr>
            <w:tcW w:type="dxa" w:w="1500"/>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Eligibility</w:t>
            </w:r>
          </w:p>
        </w:tc>
        <w:tc>
          <w:tcPr>
            <w:tcW w:type="dxa" w:w="1646"/>
            <w:gridSpan w:val="1"/>
            <w:tcBorders>
              <w:top w:val="single" w:color="E2E8F0" w:sz="4"/>
              <w:left w:val="single" w:color="E2E8F0" w:sz="4"/>
              <w:bottom w:val="single" w:color="E2E8F0" w:sz="4"/>
              <w:right w:val="single" w:color="E2E8F0" w:sz="4"/>
            </w:tcBorders>
            <w:shd w:fill="1A56DB"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8"/>
                <w:szCs w:val="18"/>
              </w:rPr>
              <w:t xml:space="preserve">Award</w:t>
            </w:r>
          </w:p>
        </w:tc>
      </w:tr>
      <w:tr>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8"/>
                <w:szCs w:val="18"/>
              </w:rPr>
              <w:t xml:space="preserve">BIA001</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JPA – Program Penajaan Nasional (PPN)</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JPA</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Kerajaan</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Semua</w:t>
            </w:r>
          </w:p>
        </w:tc>
        <w:tc>
          <w:tcPr>
            <w:tcW w:type="dxa" w:w="16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Full (Overseas)</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8"/>
                <w:szCs w:val="18"/>
              </w:rPr>
              <w:t xml:space="preserve">BIA002</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JPA – Program Khas Lepasan SPM LSPM</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JPA</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Kerajaan</w:t>
            </w:r>
          </w:p>
        </w:tc>
        <w:tc>
          <w:tcPr>
            <w:tcW w:type="dxa" w:w="1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Semua</w:t>
            </w:r>
          </w:p>
        </w:tc>
        <w:tc>
          <w:tcPr>
            <w:tcW w:type="dxa" w:w="16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Full (Local)</w:t>
            </w:r>
          </w:p>
        </w:tc>
      </w:tr>
      <w:tr>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8"/>
                <w:szCs w:val="18"/>
              </w:rPr>
              <w:t xml:space="preserve">BIA003</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JPA – Program Khas JPA MARA (PKJM)</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JPA &amp; MARA</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Kerajaan</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Bumiputera</w:t>
            </w:r>
          </w:p>
        </w:tc>
        <w:tc>
          <w:tcPr>
            <w:tcW w:type="dxa" w:w="16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Full (Local &amp; Overseas)</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8"/>
                <w:szCs w:val="18"/>
              </w:rPr>
              <w:t xml:space="preserve">BIA004</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MARA – Young Talent Development (YTP)</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MARA</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Kerajaan</w:t>
            </w:r>
          </w:p>
        </w:tc>
        <w:tc>
          <w:tcPr>
            <w:tcW w:type="dxa" w:w="1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Bumiputera B40</w:t>
            </w:r>
          </w:p>
        </w:tc>
        <w:tc>
          <w:tcPr>
            <w:tcW w:type="dxa" w:w="16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Full</w:t>
            </w:r>
          </w:p>
        </w:tc>
      </w:tr>
      <w:tr>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8"/>
                <w:szCs w:val="18"/>
              </w:rPr>
              <w:t xml:space="preserve">BIA005</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PETRONAS PESP Sponsorship</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PETRONAS</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Korporat</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Semua</w:t>
            </w:r>
          </w:p>
        </w:tc>
        <w:tc>
          <w:tcPr>
            <w:tcW w:type="dxa" w:w="16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Full</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8"/>
                <w:szCs w:val="18"/>
              </w:rPr>
              <w:t xml:space="preserve">BIA006</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Shell Malaysia Scholarship</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Shell Malaysia</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Korporat</w:t>
            </w:r>
          </w:p>
        </w:tc>
        <w:tc>
          <w:tcPr>
            <w:tcW w:type="dxa" w:w="1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Semua</w:t>
            </w:r>
          </w:p>
        </w:tc>
        <w:tc>
          <w:tcPr>
            <w:tcW w:type="dxa" w:w="16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Full</w:t>
            </w:r>
          </w:p>
        </w:tc>
      </w:tr>
      <w:tr>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8"/>
                <w:szCs w:val="18"/>
              </w:rPr>
              <w:t xml:space="preserve">BIA007</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Khazanah Watan Scholarship</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Yayasan Khazanah</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Korporat/GLC</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Bumiputera</w:t>
            </w:r>
          </w:p>
        </w:tc>
        <w:tc>
          <w:tcPr>
            <w:tcW w:type="dxa" w:w="16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Full</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8"/>
                <w:szCs w:val="18"/>
              </w:rPr>
              <w:t xml:space="preserve">BIA008</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YTN – TNB Prime Scholarship</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Yayasan Tenaga Nasional</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Korporat/GLC</w:t>
            </w:r>
          </w:p>
        </w:tc>
        <w:tc>
          <w:tcPr>
            <w:tcW w:type="dxa" w:w="1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Semua</w:t>
            </w:r>
          </w:p>
        </w:tc>
        <w:tc>
          <w:tcPr>
            <w:tcW w:type="dxa" w:w="16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Full</w:t>
            </w:r>
          </w:p>
        </w:tc>
      </w:tr>
      <w:tr>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8"/>
                <w:szCs w:val="18"/>
              </w:rPr>
              <w:t xml:space="preserve">BIA009</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Biasiswa Yayasan Pahang</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Yayasan Pahang</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Kerajaan Negeri</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B40 (Pahang)</w:t>
            </w:r>
          </w:p>
        </w:tc>
        <w:tc>
          <w:tcPr>
            <w:tcW w:type="dxa" w:w="16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Partial</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8"/>
                <w:szCs w:val="18"/>
              </w:rPr>
              <w:t xml:space="preserve">BIA010</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Biasiswa Yayasan UEM</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Yayasan UEM</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Korporat/GLC</w:t>
            </w:r>
          </w:p>
        </w:tc>
        <w:tc>
          <w:tcPr>
            <w:tcW w:type="dxa" w:w="15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Semua</w:t>
            </w:r>
          </w:p>
        </w:tc>
        <w:tc>
          <w:tcPr>
            <w:tcW w:type="dxa" w:w="16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Full</w:t>
            </w:r>
          </w:p>
        </w:tc>
      </w:tr>
    </w:tbl>
    <w:p>
      <w:r>
        <w:br w:type="page"/>
      </w:r>
    </w:p>
    <w:p>
      <w:pPr>
        <w:pStyle w:val="Heading1"/>
        <w:spacing w:after="160" w:before="320"/>
      </w:pPr>
      <w:bookmarkStart w:name="conclusion" w:id="1"/>
      <w:r>
        <w:rPr>
          <w:rFonts w:ascii="Arial" w:cs="Arial" w:eastAsia="Arial" w:hAnsi="Arial"/>
          <w:b/>
          <w:bCs/>
          <w:color w:val="0F2057"/>
          <w:sz w:val="32"/>
          <w:szCs w:val="32"/>
        </w:rPr>
        <w:t xml:space="preserve">7.  Key Benefits &amp; Conclusion</w:t>
      </w:r>
      <w:bookmarkEnd w:id="1"/>
    </w:p>
    <w:p>
      <w:pPr>
        <w:pBdr>
          <w:bottom w:val="single" w:color="E2E8F0" w:sz="6" w:space="1"/>
        </w:pBdr>
        <w:spacing w:after="4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Benefit</w:t>
            </w:r>
          </w:p>
        </w:tc>
        <w:tc>
          <w:tcPr>
            <w:tcW w:type="dxa" w:w="71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Description</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Personalised Recommendations</w:t>
            </w:r>
          </w:p>
        </w:tc>
        <w:tc>
          <w:tcPr>
            <w:tcW w:type="dxa" w:w="7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Each student receives a unique ranked scholarship list based on their own real data across five dimensions — not a generic list.</w:t>
            </w:r>
          </w:p>
        </w:tc>
      </w:tr>
      <w:tr>
        <w:tc>
          <w:tcPr>
            <w:tcW w:type="dxa" w:w="2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Secure &amp; Private</w:t>
            </w:r>
          </w:p>
        </w:tc>
        <w:tc>
          <w:tcPr>
            <w:tcW w:type="dxa" w:w="7146"/>
            <w:gridSpan w:val="1"/>
            <w:tcBorders>
              <w:top w:val="single" w:color="E2E8F0" w:sz="4"/>
              <w:left w:val="single" w:color="E2E8F0" w:sz="4"/>
              <w:bottom w:val="single" w:color="E2E8F0" w:sz="4"/>
              <w:right w:val="single" w:color="E2E8F0" w:sz="4"/>
            </w:tcBorders>
            <w:shd w:fill="F8FA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Student IDs and passwords are SULIT (confidential). Login ensures each student can only view their own data, in compliance with PDPA 2010.</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Data-Driven &amp; Fair</w:t>
            </w:r>
          </w:p>
        </w:tc>
        <w:tc>
          <w:tcPr>
            <w:tcW w:type="dxa" w:w="7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The matching engine uses a transparent five-dimension weighted formula, ensuring consistent and objective results for all students.</w:t>
            </w:r>
          </w:p>
        </w:tc>
      </w:tr>
      <w:tr>
        <w:tc>
          <w:tcPr>
            <w:tcW w:type="dxa" w:w="2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No Server Required</w:t>
            </w:r>
          </w:p>
        </w:tc>
        <w:tc>
          <w:tcPr>
            <w:tcW w:type="dxa" w:w="7146"/>
            <w:gridSpan w:val="1"/>
            <w:tcBorders>
              <w:top w:val="single" w:color="E2E8F0" w:sz="4"/>
              <w:left w:val="single" w:color="E2E8F0" w:sz="4"/>
              <w:bottom w:val="single" w:color="E2E8F0" w:sz="4"/>
              <w:right w:val="single" w:color="E2E8F0" w:sz="4"/>
            </w:tcBorders>
            <w:shd w:fill="F8FA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The entire system runs in the browser. No server infrastructure, no database, and no Python backend are required — making deployment simple.</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Real Data Integration</w:t>
            </w:r>
          </w:p>
        </w:tc>
        <w:tc>
          <w:tcPr>
            <w:tcW w:type="dxa" w:w="7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All five datasets are sourced from actual school records (SPM v4, PAJSK v3, IMK v3, Pendapatan v1, Biasiswa v3) for accurate, up-to-date matching.</w:t>
            </w:r>
          </w:p>
        </w:tc>
      </w:tr>
      <w:tr>
        <w:tc>
          <w:tcPr>
            <w:tcW w:type="dxa" w:w="2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Scalable</w:t>
            </w:r>
          </w:p>
        </w:tc>
        <w:tc>
          <w:tcPr>
            <w:tcW w:type="dxa" w:w="7146"/>
            <w:gridSpan w:val="1"/>
            <w:tcBorders>
              <w:top w:val="single" w:color="E2E8F0" w:sz="4"/>
              <w:left w:val="single" w:color="E2E8F0" w:sz="4"/>
              <w:bottom w:val="single" w:color="E2E8F0" w:sz="4"/>
              <w:right w:val="single" w:color="E2E8F0" w:sz="4"/>
            </w:tcBorders>
            <w:shd w:fill="F8FA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Currently supports 50 students. The architecture can be extended to cover additional classes, schools, or sessions with minimal changes.</w:t>
            </w:r>
          </w:p>
        </w:tc>
      </w:tr>
    </w:tbl>
    <w:p>
      <w:pPr>
        <w:spacing w:after="0" w:before="0" w:line="240"/>
      </w:pPr>
      <w:r>
        <w:t xml:space="preserve"/>
      </w:r>
    </w:p>
    <w:p>
      <w:pPr>
        <w:pStyle w:val="Heading2"/>
        <w:spacing w:after="120" w:before="220"/>
      </w:pPr>
      <w:r>
        <w:rPr>
          <w:rFonts w:ascii="Arial" w:cs="Arial" w:eastAsia="Arial" w:hAnsi="Arial"/>
          <w:b/>
          <w:bCs/>
          <w:color w:val="1A56DB"/>
          <w:sz w:val="26"/>
          <w:szCs w:val="26"/>
        </w:rPr>
        <w:t xml:space="preserve">Conclusion</w:t>
      </w:r>
    </w:p>
    <w:p>
      <w:pPr>
        <w:spacing w:after="80" w:before="80"/>
      </w:pPr>
      <w:r>
        <w:rPr>
          <w:rFonts w:ascii="Arial" w:cs="Arial" w:eastAsia="Arial" w:hAnsi="Arial"/>
          <w:b w:val="false"/>
          <w:bCs w:val="false"/>
          <w:color w:val="334155"/>
          <w:sz w:val="22"/>
          <w:szCs w:val="22"/>
        </w:rPr>
        <w:t xml:space="preserve">This system demonstrates how a modern client-side web application, built with React and TypeScript, can serve as an effective agentic AI tool for educational decision support. By integrating five real datasets and running a three-agent matching pipeline entirely in the browser, the system provides 50 students of Kelas Ibnu Khaldun with personalised, data-driven scholarship guidance — without requiring any server infrastructure or external AI API calls at runtime.</w:t>
      </w:r>
    </w:p>
    <w:p>
      <w:pPr>
        <w:spacing w:after="120" w:before="40"/>
      </w:pPr>
      <w:r>
        <w:rPr>
          <w:rFonts w:ascii="Arial" w:cs="Arial" w:eastAsia="Arial" w:hAnsi="Arial"/>
          <w:b w:val="false"/>
          <w:bCs w:val="false"/>
          <w:color w:val="334155"/>
          <w:sz w:val="22"/>
          <w:szCs w:val="22"/>
        </w:rPr>
        <w:t xml:space="preserve">The PRESTIJ Programme, delivered through the DELIMa KPM platform, exemplifies how AI-powered tools can be deployed practically within the Malaysian national education system to empower students in making informed decisions about their academic futures.</w:t>
      </w:r>
    </w:p>
    <w:p>
      <w:pPr>
        <w:pBdr>
          <w:bottom w:val="single" w:color="0F2057" w:sz="6" w:space="1"/>
        </w:pBdr>
        <w:spacing w:after="40" w:before="40"/>
      </w:pPr>
      <w:r>
        <w:t xml:space="preserve"/>
      </w:r>
    </w:p>
    <w:p>
      <w:pPr>
        <w:spacing w:after="60" w:before="120"/>
      </w:pPr>
      <w:r>
        <w:rPr>
          <w:rFonts w:ascii="Arial" w:cs="Arial" w:eastAsia="Arial" w:hAnsi="Arial"/>
          <w:b w:val="false"/>
          <w:bCs w:val="false"/>
          <w:color w:val="334155"/>
          <w:sz w:val="19"/>
          <w:szCs w:val="19"/>
        </w:rPr>
        <w:t xml:space="preserve">End of Document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057" w:sz="6" w:space="1"/>
      </w:pBdr>
      <w:tabs>
        <w:tab w:val="right" w:pos="9026"/>
      </w:tabs>
      <w:spacing w:after="0" w:before="80"/>
    </w:pPr>
    <w:r>
      <w:rPr>
        <w:rFonts w:ascii="Arial" w:cs="Arial" w:eastAsia="Arial" w:hAnsi="Arial"/>
        <w:color w:val="334155"/>
        <w:sz w:val="17"/>
        <w:szCs w:val="17"/>
      </w:rPr>
      <w:t xml:space="preserve">SBP Integrasi Kuantan  |  Kelas Ibnu Khaldun  |  Sesi 2025/2026</w:t>
    </w:r>
    <w:r>
      <w:rPr>
        <w:rFonts w:ascii="Arial" w:cs="Arial" w:eastAsia="Arial" w:hAnsi="Arial"/>
        <w:color w:val="334155"/>
        <w:sz w:val="17"/>
        <w:szCs w:val="17"/>
      </w:rPr>
      <w:t xml:space="preserve">	Page </w:t>
    </w:r>
    <w:r>
      <w:rPr>
        <w:rFonts w:ascii="Arial" w:cs="Arial" w:eastAsia="Arial" w:hAnsi="Arial"/>
        <w:color w:val="0F2057"/>
        <w:sz w:val="17"/>
        <w:szCs w:val="17"/>
      </w:rPr>
      <w:fldChar w:fldCharType="begin"/>
      <w:instrText xml:space="preserve">PAGE</w:instrText>
      <w:fldChar w:fldCharType="separate"/>
      <w:fldChar w:fldCharType="end"/>
    </w:r>
    <w:r>
      <w:rPr>
        <w:rFonts w:ascii="Arial" w:cs="Arial" w:eastAsia="Arial" w:hAnsi="Arial"/>
        <w:color w:val="334155"/>
        <w:sz w:val="17"/>
        <w:szCs w:val="17"/>
      </w:rPr>
      <w:t xml:space="preserve"> of </w:t>
    </w:r>
    <w:r>
      <w:rPr>
        <w:rFonts w:ascii="Arial" w:cs="Arial" w:eastAsia="Arial" w:hAnsi="Arial"/>
        <w:color w:val="0F205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057" w:sz="6" w:space="1"/>
      </w:pBdr>
      <w:tabs>
        <w:tab w:val="right" w:pos="9026"/>
      </w:tabs>
      <w:spacing w:after="100" w:before="0"/>
    </w:pPr>
    <w:r>
      <w:rPr>
        <w:rFonts w:ascii="Arial" w:cs="Arial" w:eastAsia="Arial" w:hAnsi="Arial"/>
        <w:color w:val="0F2057"/>
        <w:sz w:val="17"/>
        <w:szCs w:val="17"/>
      </w:rPr>
      <w:t xml:space="preserve">Tech Stack Documentation  |  Agentic AI-Powered Scholarship Matching System</w:t>
    </w:r>
    <w:r>
      <w:rPr>
        <w:rFonts w:ascii="Arial" w:cs="Arial" w:eastAsia="Arial" w:hAnsi="Arial"/>
        <w:color w:val="334155"/>
        <w:sz w:val="17"/>
        <w:szCs w:val="17"/>
      </w:rPr>
      <w:t xml:space="preserve">	DELIMa KPM  ·  PRESTIJ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057"/>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2026-06-25T21:00:35.677Z</dcterms:created>
  <dcterms:modified xsi:type="dcterms:W3CDTF">2026-06-25T21:00:35.678Z</dcterms:modified>
</cp:coreProperties>
</file>

<file path=docProps/custom.xml><?xml version="1.0" encoding="utf-8"?>
<Properties xmlns="http://schemas.openxmlformats.org/officeDocument/2006/custom-properties" xmlns:vt="http://schemas.openxmlformats.org/officeDocument/2006/docPropsVTypes"/>
</file>