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2057" w:sz="1"/>
              <w:left w:val="single" w:color="0F2057" w:sz="1"/>
              <w:bottom w:val="single" w:color="0F2057" w:sz="1"/>
              <w:right w:val="single" w:color="0F2057" w:sz="1"/>
            </w:tcBorders>
            <w:shd w:fill="0F2057" w:val="clear"/>
            <w:tcMar>
              <w:top w:type="dxa" w:w="400"/>
              <w:left w:type="dxa" w:w="400"/>
              <w:bottom w:type="dxa" w:w="200"/>
              <w:right w:type="dxa" w:w="400"/>
            </w:tcMar>
          </w:tcPr>
          <w:p>
            <w:pPr>
              <w:jc w:val="center"/>
            </w:pPr>
            <w:r>
              <w:rPr>
                <w:rFonts w:ascii="Arial" w:cs="Arial" w:eastAsia="Arial" w:hAnsi="Arial"/>
                <w:b/>
                <w:bCs/>
                <w:color w:val="FFFFFF"/>
                <w:sz w:val="44"/>
                <w:szCs w:val="44"/>
              </w:rPr>
              <w:t xml:space="preserve">TECHNICAL REPORT — PHASE 3</w:t>
            </w:r>
          </w:p>
          <w:p>
            <w:pPr>
              <w:spacing w:before="100"/>
              <w:jc w:val="center"/>
            </w:pPr>
            <w:r>
              <w:rPr>
                <w:rFonts w:ascii="Arial" w:cs="Arial" w:eastAsia="Arial" w:hAnsi="Arial"/>
                <w:color w:val="9DB8F0"/>
                <w:sz w:val="24"/>
                <w:szCs w:val="24"/>
              </w:rPr>
              <w:t xml:space="preserve">AI-Powered Scholarship Matching System</w:t>
            </w:r>
          </w:p>
          <w:p>
            <w:pPr>
              <w:jc w:val="center"/>
            </w:pPr>
            <w:r>
              <w:rPr>
                <w:rFonts w:ascii="Arial" w:cs="Arial" w:eastAsia="Arial" w:hAnsi="Arial"/>
                <w:color w:val="9DB8F0"/>
                <w:sz w:val="20"/>
                <w:szCs w:val="20"/>
              </w:rPr>
              <w:t xml:space="preserve">Sekolah Berasrama Penuh Ibnu Khaldun  |  KPM DELIMa Platform</w:t>
            </w:r>
          </w:p>
        </w:tc>
      </w:tr>
      <w:tr>
        <w:tc>
          <w:tcPr>
            <w:tcW w:type="dxa" w:w="9026"/>
            <w:tcBorders>
              <w:top w:val="single" w:color="E0E0E0" w:sz="1"/>
              <w:left w:val="single" w:color="E0E0E0" w:sz="1"/>
              <w:bottom w:val="single" w:color="E0E0E0" w:sz="1"/>
              <w:right w:val="single" w:color="E0E0E0" w:sz="1"/>
            </w:tcBorders>
            <w:shd w:fill="F3F4F6" w:val="clear"/>
            <w:tcMar>
              <w:top w:type="dxa" w:w="160"/>
              <w:left w:type="dxa" w:w="400"/>
              <w:bottom w:type="dxa" w:w="160"/>
              <w:right w:type="dxa" w:w="400"/>
            </w:tcMar>
          </w:tcPr>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1800"/>
              <w:gridCol w:w="6426"/>
            </w:tblGrid>
            <w:tr>
              <w:tc>
                <w:tcPr>
                  <w:tcW w:type="dxa" w:w="18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bCs/>
                      <w:color w:val="0F2057"/>
                      <w:sz w:val="18"/>
                      <w:szCs w:val="18"/>
                    </w:rPr>
                    <w:t xml:space="preserve">Date</w:t>
                  </w:r>
                </w:p>
              </w:tc>
              <w:tc>
                <w:tcPr>
                  <w:tcW w:type="dxa" w:w="6426"/>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July 2026</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0F2057"/>
                      <w:sz w:val="18"/>
                      <w:szCs w:val="18"/>
                    </w:rPr>
                    <w:t xml:space="preserve">Version</w:t>
                  </w:r>
                </w:p>
              </w:tc>
              <w:tc>
                <w:tcPr>
                  <w:tcW w:type="dxa" w:w="6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Phase 3</w:t>
                  </w:r>
                </w:p>
              </w:tc>
            </w:tr>
            <w:tr>
              <w:tc>
                <w:tcPr>
                  <w:tcW w:type="dxa" w:w="18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bCs/>
                      <w:color w:val="0F2057"/>
                      <w:sz w:val="18"/>
                      <w:szCs w:val="18"/>
                    </w:rPr>
                    <w:t xml:space="preserve">Prepared by</w:t>
                  </w:r>
                </w:p>
              </w:tc>
              <w:tc>
                <w:tcPr>
                  <w:tcW w:type="dxa" w:w="6426"/>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System Development Team</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0F2057"/>
                      <w:sz w:val="18"/>
                      <w:szCs w:val="18"/>
                    </w:rPr>
                    <w:t xml:space="preserve">Platform</w:t>
                  </w:r>
                </w:p>
              </w:tc>
              <w:tc>
                <w:tcPr>
                  <w:tcW w:type="dxa" w:w="6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KPM DELIMa — Node.js + Python + Groq AI</w:t>
                  </w:r>
                </w:p>
              </w:tc>
            </w:tr>
          </w:tbl>
          <w:p/>
        </w:tc>
      </w:tr>
    </w:tbl>
    <w:p>
      <w:pPr>
        <w:spacing w:after="120"/>
      </w:pPr>
    </w:p>
    <w:p>
      <w:pPr>
        <w:spacing w:after="120"/>
      </w:pPr>
    </w:p>
    <w:p>
      <w:pPr>
        <w:pStyle w:val="Heading1"/>
        <w:pBdr>
          <w:bottom w:val="single" w:color="0F2057" w:sz="6" w:space="4"/>
        </w:pBdr>
        <w:spacing w:after="160" w:before="320"/>
      </w:pPr>
      <w:r>
        <w:rPr>
          <w:rFonts w:ascii="Arial" w:cs="Arial" w:eastAsia="Arial" w:hAnsi="Arial"/>
          <w:b/>
          <w:bCs/>
          <w:color w:val="0F2057"/>
          <w:sz w:val="28"/>
          <w:szCs w:val="28"/>
        </w:rPr>
        <w:t xml:space="preserve">1. Introduction</w:t>
      </w:r>
    </w:p>
    <w:p>
      <w:pPr>
        <w:spacing w:after="120"/>
        <w:jc w:val="both"/>
      </w:pPr>
      <w:r>
        <w:rPr>
          <w:rFonts w:ascii="Arial" w:cs="Arial" w:eastAsia="Arial" w:hAnsi="Arial"/>
          <w:color w:val="4B4B4B"/>
          <w:sz w:val="20"/>
          <w:szCs w:val="20"/>
        </w:rPr>
        <w:t xml:space="preserve">This Phase 3 Technical Report documents two major improvements implemented in the AI-Powered Scholarship Matching System for SPM students at Sekolah Berasrama Penuh Ibnu Khaldun. The enhancements cover (1) a full transformation of the user interface to align with the KPM DELIMa design system, and (2) a correction to the PAJSK factor scoring formula in the Agent 2 matching engine to ensure accurate and transparent score computation.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FFFFFF" w:sz="1"/>
              <w:left w:val="single" w:color="FFFFFF" w:sz="1"/>
              <w:bottom w:val="single" w:color="FFFFFF" w:sz="1"/>
              <w:right w:val="single" w:color="FFFFFF" w:sz="1"/>
            </w:tcBorders>
            <w:shd w:fill="7B1FA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IMPROVEMENT 1</w:t>
            </w:r>
          </w:p>
        </w:tc>
        <w:tc>
          <w:tcPr>
            <w:tcW w:type="dxa" w:w="4513"/>
            <w:tcBorders>
              <w:top w:val="single" w:color="FFFFFF" w:sz="1"/>
              <w:left w:val="single" w:color="FFFFFF" w:sz="1"/>
              <w:bottom w:val="single" w:color="FFFFFF" w:sz="1"/>
              <w:right w:val="single" w:color="FFFFFF" w:sz="1"/>
            </w:tcBorders>
            <w:shd w:fill="388E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IMPROVEMENT 2</w:t>
            </w:r>
          </w:p>
        </w:tc>
      </w:tr>
      <w:tr>
        <w:tc>
          <w:tcPr>
            <w:tcW w:type="dxa" w:w="4513"/>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tcPr>
          <w:p>
            <w:pPr>
              <w:jc w:val="center"/>
            </w:pPr>
            <w:r>
              <w:rPr>
                <w:rFonts w:ascii="Arial" w:cs="Arial" w:eastAsia="Arial" w:hAnsi="Arial"/>
                <w:b/>
                <w:bCs/>
                <w:color w:val="7B1FA2"/>
                <w:sz w:val="20"/>
                <w:szCs w:val="20"/>
              </w:rPr>
              <w:t xml:space="preserve">UI Transformation to KPM DELIMa Theme</w:t>
            </w:r>
          </w:p>
          <w:p>
            <w:pPr>
              <w:spacing w:before="80"/>
              <w:jc w:val="center"/>
            </w:pPr>
            <w:r>
              <w:rPr>
                <w:rFonts w:ascii="Arial" w:cs="Arial" w:eastAsia="Arial" w:hAnsi="Arial"/>
                <w:color w:val="4B4B4B"/>
                <w:sz w:val="18"/>
                <w:szCs w:val="18"/>
              </w:rPr>
              <w:t xml:space="preserve">Colour palette, Montserrat font, DELIMa spinner, 3-column layout, profile card, side panels.</w:t>
            </w:r>
          </w:p>
        </w:tc>
        <w:tc>
          <w:tcPr>
            <w:tcW w:type="dxa" w:w="4513"/>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pPr>
              <w:jc w:val="center"/>
            </w:pPr>
            <w:r>
              <w:rPr>
                <w:rFonts w:ascii="Arial" w:cs="Arial" w:eastAsia="Arial" w:hAnsi="Arial"/>
                <w:b/>
                <w:bCs/>
                <w:color w:val="388E3C"/>
                <w:sz w:val="20"/>
                <w:szCs w:val="20"/>
              </w:rPr>
              <w:t xml:space="preserve">PAJSK Scoring Formula Fix in Agent 2</w:t>
            </w:r>
          </w:p>
          <w:p>
            <w:pPr>
              <w:spacing w:before="80"/>
              <w:jc w:val="center"/>
            </w:pPr>
            <w:r>
              <w:rPr>
                <w:rFonts w:ascii="Arial" w:cs="Arial" w:eastAsia="Arial" w:hAnsi="Arial"/>
                <w:color w:val="4B4B4B"/>
                <w:sz w:val="18"/>
                <w:szCs w:val="18"/>
              </w:rPr>
              <w:t xml:space="preserve">Old formula produced inaccurate values (e.g. 98.2). New formula uses a direct ratio against the scholarship CGPA_PAJSK threshold.</w:t>
            </w:r>
          </w:p>
        </w:tc>
      </w:tr>
    </w:tbl>
    <w:p>
      <w:pPr>
        <w:spacing w:after="120"/>
      </w:pPr>
    </w:p>
    <w:p>
      <w:pPr>
        <w:spacing w:after="120"/>
      </w:pPr>
    </w:p>
    <w:p>
      <w:pPr>
        <w:pStyle w:val="Heading1"/>
        <w:pBdr>
          <w:bottom w:val="single" w:color="0F2057" w:sz="6" w:space="4"/>
        </w:pBdr>
        <w:spacing w:after="160" w:before="320"/>
      </w:pPr>
      <w:r>
        <w:rPr>
          <w:rFonts w:ascii="Arial" w:cs="Arial" w:eastAsia="Arial" w:hAnsi="Arial"/>
          <w:b/>
          <w:bCs/>
          <w:color w:val="0F2057"/>
          <w:sz w:val="28"/>
          <w:szCs w:val="28"/>
        </w:rPr>
        <w:t xml:space="preserve">2. Improvement 1 — UI Transformation to KPM DELIMa Theme</w:t>
      </w:r>
    </w:p>
    <w:p>
      <w:pPr>
        <w:spacing w:after="120"/>
        <w:jc w:val="both"/>
      </w:pPr>
      <w:r>
        <w:rPr>
          <w:rFonts w:ascii="Arial" w:cs="Arial" w:eastAsia="Arial" w:hAnsi="Arial"/>
          <w:color w:val="4B4B4B"/>
          <w:sz w:val="20"/>
          <w:szCs w:val="20"/>
        </w:rPr>
        <w:t xml:space="preserve">The system user interface has been fully redesigned to follow the KPM DELIMa design guidelines. Changes cover the colour palette, typography, UI components, page layout, and visual elements to ensure consistency with the DELIMa platform used across KPM schools.</w:t>
      </w:r>
    </w:p>
    <w:p>
      <w:pPr>
        <w:spacing w:after="120"/>
      </w:pPr>
    </w:p>
    <w:p>
      <w:pPr>
        <w:pStyle w:val="Heading2"/>
        <w:spacing w:after="120" w:before="240"/>
      </w:pPr>
      <w:r>
        <w:rPr>
          <w:rFonts w:ascii="Arial" w:cs="Arial" w:eastAsia="Arial" w:hAnsi="Arial"/>
          <w:b/>
          <w:bCs/>
          <w:color w:val="1976D2"/>
          <w:sz w:val="24"/>
          <w:szCs w:val="24"/>
        </w:rPr>
        <w:t xml:space="preserve">2.1 DELIMa Colour Palette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3426"/>
      </w:tblGrid>
      <w:tr>
        <w:tc>
          <w:tcPr>
            <w:tcW w:type="dxa" w:w="2600"/>
            <w:tcBorders>
              <w:top w:val="single" w:color="FFFFFF" w:sz="1"/>
              <w:left w:val="single" w:color="FFFFFF" w:sz="1"/>
              <w:bottom w:val="single" w:color="FFFFFF" w:sz="1"/>
              <w:right w:val="single" w:color="FFFFFF" w:sz="1"/>
            </w:tcBorders>
            <w:shd w:fill="0F2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UI Element</w:t>
            </w:r>
          </w:p>
        </w:tc>
        <w:tc>
          <w:tcPr>
            <w:tcW w:type="dxa" w:w="1400"/>
            <w:tcBorders>
              <w:top w:val="single" w:color="FFFFFF" w:sz="1"/>
              <w:left w:val="single" w:color="FFFFFF" w:sz="1"/>
              <w:bottom w:val="single" w:color="FFFFFF" w:sz="1"/>
              <w:right w:val="single" w:color="FFFFFF" w:sz="1"/>
            </w:tcBorders>
            <w:shd w:fill="0F2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Colour</w:t>
            </w:r>
          </w:p>
        </w:tc>
        <w:tc>
          <w:tcPr>
            <w:tcW w:type="dxa" w:w="1600"/>
            <w:tcBorders>
              <w:top w:val="single" w:color="FFFFFF" w:sz="1"/>
              <w:left w:val="single" w:color="FFFFFF" w:sz="1"/>
              <w:bottom w:val="single" w:color="FFFFFF" w:sz="1"/>
              <w:right w:val="single" w:color="FFFFFF" w:sz="1"/>
            </w:tcBorders>
            <w:shd w:fill="0F2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Hex Code</w:t>
            </w:r>
          </w:p>
        </w:tc>
        <w:tc>
          <w:tcPr>
            <w:tcW w:type="dxa" w:w="3426"/>
            <w:tcBorders>
              <w:top w:val="single" w:color="FFFFFF" w:sz="1"/>
              <w:left w:val="single" w:color="FFFFFF" w:sz="1"/>
              <w:bottom w:val="single" w:color="FFFFFF" w:sz="1"/>
              <w:right w:val="single" w:color="FFFFFF" w:sz="1"/>
            </w:tcBorders>
            <w:shd w:fill="0F2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6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Logo &amp; Brand heading</w:t>
            </w:r>
          </w:p>
        </w:tc>
        <w:tc>
          <w:tcPr>
            <w:tcW w:type="dxa" w:w="14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Purple</w:t>
            </w:r>
          </w:p>
        </w:tc>
        <w:tc>
          <w:tcPr>
            <w:tcW w:type="dxa" w:w="16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1976D2"/>
                <w:sz w:val="18"/>
                <w:szCs w:val="18"/>
              </w:rPr>
              <w:t xml:space="preserve">#7B1FA2</w:t>
            </w:r>
          </w:p>
        </w:tc>
        <w:tc>
          <w:tcPr>
            <w:tcW w:type="dxa" w:w="3426"/>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Badge, Portal Pelajar heading</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Primary buttons &amp; actions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Blue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1976D2"/>
                <w:sz w:val="18"/>
                <w:szCs w:val="18"/>
              </w:rPr>
              <w:t xml:space="preserve">#1976D2</w:t>
            </w:r>
          </w:p>
        </w:tc>
        <w:tc>
          <w:tcPr>
            <w:tcW w:type="dxa" w:w="3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Log In button, primary actions</w:t>
            </w:r>
          </w:p>
        </w:tc>
      </w:tr>
      <w:tr>
        <w:tc>
          <w:tcPr>
            <w:tcW w:type="dxa" w:w="26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Success / Eligible</w:t>
            </w:r>
          </w:p>
        </w:tc>
        <w:tc>
          <w:tcPr>
            <w:tcW w:type="dxa" w:w="14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Green</w:t>
            </w:r>
          </w:p>
        </w:tc>
        <w:tc>
          <w:tcPr>
            <w:tcW w:type="dxa" w:w="16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1976D2"/>
                <w:sz w:val="18"/>
                <w:szCs w:val="18"/>
              </w:rPr>
              <w:t xml:space="preserve">#388E3C</w:t>
            </w:r>
          </w:p>
        </w:tc>
        <w:tc>
          <w:tcPr>
            <w:tcW w:type="dxa" w:w="3426"/>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Eligible badge, download button, hero bar</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Section titles / Danger</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Red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1976D2"/>
                <w:sz w:val="18"/>
                <w:szCs w:val="18"/>
              </w:rPr>
              <w:t xml:space="preserve">#E53935</w:t>
            </w:r>
          </w:p>
        </w:tc>
        <w:tc>
          <w:tcPr>
            <w:tcW w:type="dxa" w:w="3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Card titles, ineligible badge</w:t>
            </w:r>
          </w:p>
        </w:tc>
      </w:tr>
      <w:tr>
        <w:tc>
          <w:tcPr>
            <w:tcW w:type="dxa" w:w="26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Warning / PAJSK chip</w:t>
            </w:r>
          </w:p>
        </w:tc>
        <w:tc>
          <w:tcPr>
            <w:tcW w:type="dxa" w:w="14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Amber</w:t>
            </w:r>
          </w:p>
        </w:tc>
        <w:tc>
          <w:tcPr>
            <w:tcW w:type="dxa" w:w="16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1976D2"/>
                <w:sz w:val="18"/>
                <w:szCs w:val="18"/>
              </w:rPr>
              <w:t xml:space="preserve">#FF8F00</w:t>
            </w:r>
          </w:p>
        </w:tc>
        <w:tc>
          <w:tcPr>
            <w:tcW w:type="dxa" w:w="3426"/>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Warning chips, PAJSK factor label</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Info / Hover</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Teal</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1976D2"/>
                <w:sz w:val="18"/>
                <w:szCs w:val="18"/>
              </w:rPr>
              <w:t xml:space="preserve">#00897B</w:t>
            </w:r>
          </w:p>
        </w:tc>
        <w:tc>
          <w:tcPr>
            <w:tcW w:type="dxa" w:w="3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Info chips, hover backgrounds</w:t>
            </w:r>
          </w:p>
        </w:tc>
      </w:tr>
      <w:tr>
        <w:tc>
          <w:tcPr>
            <w:tcW w:type="dxa" w:w="26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Page background</w:t>
            </w:r>
          </w:p>
        </w:tc>
        <w:tc>
          <w:tcPr>
            <w:tcW w:type="dxa" w:w="14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White</w:t>
            </w:r>
          </w:p>
        </w:tc>
        <w:tc>
          <w:tcPr>
            <w:tcW w:type="dxa" w:w="16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1976D2"/>
                <w:sz w:val="18"/>
                <w:szCs w:val="18"/>
              </w:rPr>
              <w:t xml:space="preserve">#FFFFFF</w:t>
            </w:r>
          </w:p>
        </w:tc>
        <w:tc>
          <w:tcPr>
            <w:tcW w:type="dxa" w:w="3426"/>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Main page background</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Card background</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Mint Green</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1976D2"/>
                <w:sz w:val="18"/>
                <w:szCs w:val="18"/>
              </w:rPr>
              <w:t xml:space="preserve">#E8F5F0</w:t>
            </w:r>
          </w:p>
        </w:tc>
        <w:tc>
          <w:tcPr>
            <w:tcW w:type="dxa" w:w="3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All .card elements</w:t>
            </w:r>
          </w:p>
        </w:tc>
      </w:tr>
      <w:tr>
        <w:tc>
          <w:tcPr>
            <w:tcW w:type="dxa" w:w="26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Top navigation bar</w:t>
            </w:r>
          </w:p>
        </w:tc>
        <w:tc>
          <w:tcPr>
            <w:tcW w:type="dxa" w:w="14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Navy</w:t>
            </w:r>
          </w:p>
        </w:tc>
        <w:tc>
          <w:tcPr>
            <w:tcW w:type="dxa" w:w="16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1976D2"/>
                <w:sz w:val="18"/>
                <w:szCs w:val="18"/>
              </w:rPr>
              <w:t xml:space="preserve">#0F2057</w:t>
            </w:r>
          </w:p>
        </w:tc>
        <w:tc>
          <w:tcPr>
            <w:tcW w:type="dxa" w:w="3426"/>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Top-bar background</w:t>
            </w:r>
          </w:p>
        </w:tc>
      </w:tr>
    </w:tbl>
    <w:p>
      <w:pPr>
        <w:spacing w:after="120"/>
      </w:pPr>
    </w:p>
    <w:p>
      <w:pPr>
        <w:pStyle w:val="Heading2"/>
        <w:spacing w:after="120" w:before="240"/>
      </w:pPr>
      <w:r>
        <w:rPr>
          <w:rFonts w:ascii="Arial" w:cs="Arial" w:eastAsia="Arial" w:hAnsi="Arial"/>
          <w:b/>
          <w:bCs/>
          <w:color w:val="1976D2"/>
          <w:sz w:val="24"/>
          <w:szCs w:val="24"/>
        </w:rPr>
        <w:t xml:space="preserve">2.2 UI Component Changes</w:t>
      </w:r>
    </w:p>
    <w:p>
      <w:pPr>
        <w:pStyle w:val="ListParagraph"/>
        <w:numPr>
          <w:ilvl w:val="0"/>
          <w:numId w:val="2"/>
        </w:numPr>
        <w:spacing w:after="80"/>
      </w:pPr>
      <w:r>
        <w:rPr>
          <w:rFonts w:ascii="Arial" w:cs="Arial" w:eastAsia="Arial" w:hAnsi="Arial"/>
          <w:b/>
          <w:bCs/>
          <w:color w:val="0F2057"/>
          <w:sz w:val="19"/>
          <w:szCs w:val="19"/>
        </w:rPr>
        <w:t xml:space="preserve">Typography: </w:t>
      </w:r>
      <w:r>
        <w:rPr>
          <w:rFonts w:ascii="Arial" w:cs="Arial" w:eastAsia="Arial" w:hAnsi="Arial"/>
          <w:color w:val="4B4B4B"/>
          <w:sz w:val="19"/>
          <w:szCs w:val="19"/>
        </w:rPr>
        <w:t xml:space="preserve">Font changed from 'Outfit' to 'Montserrat' — the official KPM DELIMa font.</w:t>
      </w:r>
    </w:p>
    <w:p>
      <w:pPr>
        <w:pStyle w:val="ListParagraph"/>
        <w:numPr>
          <w:ilvl w:val="0"/>
          <w:numId w:val="2"/>
        </w:numPr>
        <w:spacing w:after="80"/>
      </w:pPr>
      <w:r>
        <w:rPr>
          <w:rFonts w:ascii="Arial" w:cs="Arial" w:eastAsia="Arial" w:hAnsi="Arial"/>
          <w:b/>
          <w:bCs/>
          <w:color w:val="0F2057"/>
          <w:sz w:val="19"/>
          <w:szCs w:val="19"/>
        </w:rPr>
        <w:t xml:space="preserve">Loading Spinner: </w:t>
      </w:r>
      <w:r>
        <w:rPr>
          <w:rFonts w:ascii="Arial" w:cs="Arial" w:eastAsia="Arial" w:hAnsi="Arial"/>
          <w:color w:val="4B4B4B"/>
          <w:sz w:val="19"/>
          <w:szCs w:val="19"/>
        </w:rPr>
        <w:t xml:space="preserve">Single-ring spinner replaced with a DELIMa-style triple-ring animated spinner using CSS @keyframes (delima-rotate / delima-rotate-op).</w:t>
      </w:r>
    </w:p>
    <w:p>
      <w:pPr>
        <w:pStyle w:val="ListParagraph"/>
        <w:numPr>
          <w:ilvl w:val="0"/>
          <w:numId w:val="2"/>
        </w:numPr>
        <w:spacing w:after="80"/>
      </w:pPr>
      <w:r>
        <w:rPr>
          <w:rFonts w:ascii="Arial" w:cs="Arial" w:eastAsia="Arial" w:hAnsi="Arial"/>
          <w:b/>
          <w:bCs/>
          <w:color w:val="0F2057"/>
          <w:sz w:val="19"/>
          <w:szCs w:val="19"/>
        </w:rPr>
        <w:t xml:space="preserve">DELIMa Logo: </w:t>
      </w:r>
      <w:r>
        <w:rPr>
          <w:rFonts w:ascii="Arial" w:cs="Arial" w:eastAsia="Arial" w:hAnsi="Arial"/>
          <w:color w:val="4B4B4B"/>
          <w:sz w:val="19"/>
          <w:szCs w:val="19"/>
        </w:rPr>
        <w:t xml:space="preserve">Official DELIMa logo (logo.png) placed at the top-left of the navigation bar, replacing the plain text '★ AI BIASISWA'.</w:t>
      </w:r>
    </w:p>
    <w:p>
      <w:pPr>
        <w:pStyle w:val="ListParagraph"/>
        <w:numPr>
          <w:ilvl w:val="0"/>
          <w:numId w:val="2"/>
        </w:numPr>
        <w:spacing w:after="80"/>
      </w:pPr>
      <w:r>
        <w:rPr>
          <w:rFonts w:ascii="Arial" w:cs="Arial" w:eastAsia="Arial" w:hAnsi="Arial"/>
          <w:b/>
          <w:bCs/>
          <w:color w:val="0F2057"/>
          <w:sz w:val="19"/>
          <w:szCs w:val="19"/>
        </w:rPr>
        <w:t xml:space="preserve">Student Profile Card: </w:t>
      </w:r>
      <w:r>
        <w:rPr>
          <w:rFonts w:ascii="Arial" w:cs="Arial" w:eastAsia="Arial" w:hAnsi="Arial"/>
          <w:color w:val="4B4B4B"/>
          <w:sz w:val="19"/>
          <w:szCs w:val="19"/>
        </w:rPr>
        <w:t xml:space="preserve">New DELIMa-style profile card added to the left panel — green top section ('Salam Sejahtera Pelajar'), blue bottom section with circular avatar, student name, and school name. Populated dynamically on login.</w:t>
      </w:r>
    </w:p>
    <w:p>
      <w:pPr>
        <w:pStyle w:val="ListParagraph"/>
        <w:numPr>
          <w:ilvl w:val="0"/>
          <w:numId w:val="2"/>
        </w:numPr>
        <w:spacing w:after="80"/>
      </w:pPr>
      <w:r>
        <w:rPr>
          <w:rFonts w:ascii="Arial" w:cs="Arial" w:eastAsia="Arial" w:hAnsi="Arial"/>
          <w:b/>
          <w:bCs/>
          <w:color w:val="0F2057"/>
          <w:sz w:val="19"/>
          <w:szCs w:val="19"/>
        </w:rPr>
        <w:t xml:space="preserve">3-Column Dashboard Layout: </w:t>
      </w:r>
      <w:r>
        <w:rPr>
          <w:rFonts w:ascii="Arial" w:cs="Arial" w:eastAsia="Arial" w:hAnsi="Arial"/>
          <w:color w:val="4B4B4B"/>
          <w:sz w:val="19"/>
          <w:szCs w:val="19"/>
        </w:rPr>
        <w:t xml:space="preserve">Dashboard restructured from 2-column to 3-column: left panel (Scholarship Info), main content area, right panel (AI Tips).</w:t>
      </w:r>
    </w:p>
    <w:p>
      <w:pPr>
        <w:pStyle w:val="ListParagraph"/>
        <w:numPr>
          <w:ilvl w:val="0"/>
          <w:numId w:val="2"/>
        </w:numPr>
        <w:spacing w:after="80"/>
      </w:pPr>
      <w:r>
        <w:rPr>
          <w:rFonts w:ascii="Arial" w:cs="Arial" w:eastAsia="Arial" w:hAnsi="Arial"/>
          <w:b/>
          <w:bCs/>
          <w:color w:val="0F2057"/>
          <w:sz w:val="19"/>
          <w:szCs w:val="19"/>
        </w:rPr>
        <w:t xml:space="preserve">Scholarship Info Panel (Left): </w:t>
      </w:r>
      <w:r>
        <w:rPr>
          <w:rFonts w:ascii="Arial" w:cs="Arial" w:eastAsia="Arial" w:hAnsi="Arial"/>
          <w:color w:val="4B4B4B"/>
          <w:sz w:val="19"/>
          <w:szCs w:val="19"/>
        </w:rPr>
        <w:t xml:space="preserve">New panel with green header showing 6 current scholarship listings with application closing dates.</w:t>
      </w:r>
    </w:p>
    <w:p>
      <w:pPr>
        <w:pStyle w:val="ListParagraph"/>
        <w:numPr>
          <w:ilvl w:val="0"/>
          <w:numId w:val="2"/>
        </w:numPr>
        <w:spacing w:after="80"/>
      </w:pPr>
      <w:r>
        <w:rPr>
          <w:rFonts w:ascii="Arial" w:cs="Arial" w:eastAsia="Arial" w:hAnsi="Arial"/>
          <w:b/>
          <w:bCs/>
          <w:color w:val="0F2057"/>
          <w:sz w:val="19"/>
          <w:szCs w:val="19"/>
        </w:rPr>
        <w:t xml:space="preserve">AI Tips Panel (Right): </w:t>
      </w:r>
      <w:r>
        <w:rPr>
          <w:rFonts w:ascii="Arial" w:cs="Arial" w:eastAsia="Arial" w:hAnsi="Arial"/>
          <w:color w:val="4B4B4B"/>
          <w:sz w:val="19"/>
          <w:szCs w:val="19"/>
        </w:rPr>
        <w:t xml:space="preserve">New panel with purple header showing 6 actionable tips to help students improve their scholarship prospects.</w:t>
      </w:r>
    </w:p>
    <w:p>
      <w:pPr>
        <w:pStyle w:val="ListParagraph"/>
        <w:numPr>
          <w:ilvl w:val="0"/>
          <w:numId w:val="2"/>
        </w:numPr>
        <w:spacing w:after="80"/>
      </w:pPr>
      <w:r>
        <w:rPr>
          <w:rFonts w:ascii="Arial" w:cs="Arial" w:eastAsia="Arial" w:hAnsi="Arial"/>
          <w:b/>
          <w:bCs/>
          <w:color w:val="0F2057"/>
          <w:sz w:val="19"/>
          <w:szCs w:val="19"/>
        </w:rPr>
        <w:t xml:space="preserve">RIASEC Boxes: </w:t>
      </w:r>
      <w:r>
        <w:rPr>
          <w:rFonts w:ascii="Arial" w:cs="Arial" w:eastAsia="Arial" w:hAnsi="Arial"/>
          <w:color w:val="4B4B4B"/>
          <w:sz w:val="19"/>
          <w:szCs w:val="19"/>
        </w:rPr>
        <w:t xml:space="preserve">R/I/A/S/E/K box colours updated to DELIMa semantic colours: warning/success/purple/primary/danger/info respectively.</w:t>
      </w:r>
    </w:p>
    <w:p>
      <w:pPr>
        <w:pStyle w:val="ListParagraph"/>
        <w:numPr>
          <w:ilvl w:val="0"/>
          <w:numId w:val="2"/>
        </w:numPr>
        <w:spacing w:after="80"/>
      </w:pPr>
      <w:r>
        <w:rPr>
          <w:rFonts w:ascii="Arial" w:cs="Arial" w:eastAsia="Arial" w:hAnsi="Arial"/>
          <w:b/>
          <w:bCs/>
          <w:color w:val="0F2057"/>
          <w:sz w:val="19"/>
          <w:szCs w:val="19"/>
        </w:rPr>
        <w:t xml:space="preserve">Card Background: </w:t>
      </w:r>
      <w:r>
        <w:rPr>
          <w:rFonts w:ascii="Arial" w:cs="Arial" w:eastAsia="Arial" w:hAnsi="Arial"/>
          <w:color w:val="4B4B4B"/>
          <w:sz w:val="19"/>
          <w:szCs w:val="19"/>
        </w:rPr>
        <w:t xml:space="preserve">All .card elements changed from white (#FFFFFF) to soft mint green (#E8F5F0), mirroring the DELIMa card style.</w:t>
      </w:r>
    </w:p>
    <w:p>
      <w:pPr>
        <w:spacing w:after="120"/>
      </w:pPr>
    </w:p>
    <w:p>
      <w:pPr>
        <w:pStyle w:val="Heading2"/>
        <w:spacing w:after="120" w:before="240"/>
      </w:pPr>
      <w:r>
        <w:rPr>
          <w:rFonts w:ascii="Arial" w:cs="Arial" w:eastAsia="Arial" w:hAnsi="Arial"/>
          <w:b/>
          <w:bCs/>
          <w:color w:val="1976D2"/>
          <w:sz w:val="24"/>
          <w:szCs w:val="24"/>
        </w:rPr>
        <w:t xml:space="preserve">2.3 Files Modified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FFFFFF" w:sz="1"/>
              <w:left w:val="single" w:color="FFFFFF" w:sz="1"/>
              <w:bottom w:val="single" w:color="FFFFFF" w:sz="1"/>
              <w:right w:val="single" w:color="FFFFFF" w:sz="1"/>
            </w:tcBorders>
            <w:shd w:fill="7B1FA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w:t>
            </w:r>
          </w:p>
        </w:tc>
        <w:tc>
          <w:tcPr>
            <w:tcW w:type="dxa" w:w="6026"/>
            <w:tcBorders>
              <w:top w:val="single" w:color="FFFFFF" w:sz="1"/>
              <w:left w:val="single" w:color="FFFFFF" w:sz="1"/>
              <w:bottom w:val="single" w:color="FFFFFF" w:sz="1"/>
              <w:right w:val="single" w:color="FFFFFF" w:sz="1"/>
            </w:tcBorders>
            <w:shd w:fill="7B1FA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Changes Made</w:t>
            </w:r>
          </w:p>
        </w:tc>
      </w:tr>
      <w:tr>
        <w:tc>
          <w:tcPr>
            <w:tcW w:type="dxa" w:w="300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vAlign w:val="center"/>
          </w:tcPr>
          <w:p>
            <w:r>
              <w:rPr>
                <w:rFonts w:ascii="Arial" w:cs="Arial" w:eastAsia="Arial" w:hAnsi="Arial"/>
                <w:b/>
                <w:bCs/>
                <w:color w:val="7B1FA2"/>
                <w:sz w:val="18"/>
                <w:szCs w:val="18"/>
              </w:rPr>
              <w:t xml:space="preserve">Agent1/index.html</w:t>
            </w:r>
          </w:p>
        </w:tc>
        <w:tc>
          <w:tcPr>
            <w:tcW w:type="dxa" w:w="6026"/>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CSS variables, HTML components, layout structure, all element colours updated</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7B1FA2"/>
                <w:sz w:val="18"/>
                <w:szCs w:val="18"/>
              </w:rPr>
              <w:t xml:space="preserve">Agent1/logo.png</w:t>
            </w:r>
          </w:p>
        </w:tc>
        <w:tc>
          <w:tcPr>
            <w:tcW w:type="dxa" w:w="6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DELIMa logo file copied from project root to Agent1 folder for static serving</w:t>
            </w:r>
          </w:p>
        </w:tc>
      </w:tr>
    </w:tbl>
    <w:p>
      <w:r>
        <w:br w:type="page"/>
      </w:r>
    </w:p>
    <w:p>
      <w:pPr>
        <w:pStyle w:val="Heading1"/>
        <w:pBdr>
          <w:bottom w:val="single" w:color="0F2057" w:sz="6" w:space="4"/>
        </w:pBdr>
        <w:spacing w:after="160" w:before="320"/>
      </w:pPr>
      <w:r>
        <w:rPr>
          <w:rFonts w:ascii="Arial" w:cs="Arial" w:eastAsia="Arial" w:hAnsi="Arial"/>
          <w:b/>
          <w:bCs/>
          <w:color w:val="0F2057"/>
          <w:sz w:val="28"/>
          <w:szCs w:val="28"/>
        </w:rPr>
        <w:t xml:space="preserve">3. Improvement 2 — PAJSK Scoring Formula Fix in Agent 2</w:t>
      </w:r>
    </w:p>
    <w:p>
      <w:pPr>
        <w:spacing w:after="120"/>
        <w:jc w:val="both"/>
      </w:pPr>
      <w:r>
        <w:rPr>
          <w:rFonts w:ascii="Arial" w:cs="Arial" w:eastAsia="Arial" w:hAnsi="Arial"/>
          <w:color w:val="4B4B4B"/>
          <w:sz w:val="20"/>
          <w:szCs w:val="20"/>
        </w:rPr>
        <w:t xml:space="preserve">During a review of the matching logic, it was discovered that the PAJSK factor scoring formula in Agent 2 was producing values that did not accurately reflect the comparison between the student's score and the scholarship's minimum requirement. The old formula was replaced with a direct ratio approach that is transparent, fair, and consistent.</w:t>
      </w:r>
    </w:p>
    <w:p>
      <w:pPr>
        <w:spacing w:after="120"/>
      </w:pPr>
    </w:p>
    <w:p>
      <w:pPr>
        <w:pStyle w:val="Heading2"/>
        <w:spacing w:after="120" w:before="240"/>
      </w:pPr>
      <w:r>
        <w:rPr>
          <w:rFonts w:ascii="Arial" w:cs="Arial" w:eastAsia="Arial" w:hAnsi="Arial"/>
          <w:b/>
          <w:bCs/>
          <w:color w:val="1976D2"/>
          <w:sz w:val="24"/>
          <w:szCs w:val="24"/>
        </w:rPr>
        <w:t xml:space="preserve">3.1 Root Cause — Scale Mismatch</w:t>
      </w:r>
    </w:p>
    <w:p>
      <w:pPr>
        <w:spacing w:after="120"/>
        <w:jc w:val="both"/>
      </w:pPr>
      <w:r>
        <w:rPr>
          <w:rFonts w:ascii="Arial" w:cs="Arial" w:eastAsia="Arial" w:hAnsi="Arial"/>
          <w:color w:val="4B4B4B"/>
          <w:sz w:val="20"/>
          <w:szCs w:val="20"/>
        </w:rPr>
        <w:t xml:space="preserve">There is a scale difference between the student data and scholarship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2626"/>
      </w:tblGrid>
      <w:tr>
        <w:tc>
          <w:tcPr>
            <w:tcW w:type="dxa" w:w="2800"/>
            <w:tcBorders>
              <w:top w:val="single" w:color="FFFFFF" w:sz="1"/>
              <w:left w:val="single" w:color="FFFFFF" w:sz="1"/>
              <w:bottom w:val="single" w:color="FFFFFF" w:sz="1"/>
              <w:right w:val="single" w:color="FFFFFF" w:sz="1"/>
            </w:tcBorders>
            <w:shd w:fill="388E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Source</w:t>
            </w:r>
          </w:p>
        </w:tc>
        <w:tc>
          <w:tcPr>
            <w:tcW w:type="dxa" w:w="2000"/>
            <w:tcBorders>
              <w:top w:val="single" w:color="FFFFFF" w:sz="1"/>
              <w:left w:val="single" w:color="FFFFFF" w:sz="1"/>
              <w:bottom w:val="single" w:color="FFFFFF" w:sz="1"/>
              <w:right w:val="single" w:color="FFFFFF" w:sz="1"/>
            </w:tcBorders>
            <w:shd w:fill="388E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600"/>
            <w:tcBorders>
              <w:top w:val="single" w:color="FFFFFF" w:sz="1"/>
              <w:left w:val="single" w:color="FFFFFF" w:sz="1"/>
              <w:bottom w:val="single" w:color="FFFFFF" w:sz="1"/>
              <w:right w:val="single" w:color="FFFFFF" w:sz="1"/>
            </w:tcBorders>
            <w:shd w:fill="388E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Scale</w:t>
            </w:r>
          </w:p>
        </w:tc>
        <w:tc>
          <w:tcPr>
            <w:tcW w:type="dxa" w:w="2626"/>
            <w:tcBorders>
              <w:top w:val="single" w:color="FFFFFF" w:sz="1"/>
              <w:left w:val="single" w:color="FFFFFF" w:sz="1"/>
              <w:bottom w:val="single" w:color="FFFFFF" w:sz="1"/>
              <w:right w:val="single" w:color="FFFFFF" w:sz="1"/>
            </w:tcBorders>
            <w:shd w:fill="388E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w:t>
            </w:r>
          </w:p>
        </w:tc>
      </w:tr>
      <w:tr>
        <w:tc>
          <w:tcPr>
            <w:tcW w:type="dxa" w:w="28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Student (output.json)</w:t>
            </w:r>
          </w:p>
        </w:tc>
        <w:tc>
          <w:tcPr>
            <w:tcW w:type="dxa" w:w="20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pajskScore</w:t>
            </w:r>
          </w:p>
        </w:tc>
        <w:tc>
          <w:tcPr>
            <w:tcW w:type="dxa" w:w="16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0 – 100%</w:t>
            </w:r>
          </w:p>
        </w:tc>
        <w:tc>
          <w:tcPr>
            <w:tcW w:type="dxa" w:w="2626"/>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96.4%</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Scholarship (Excel Dataset)</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CGPA_PAJSK</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0 – 10</w:t>
            </w:r>
          </w:p>
        </w:tc>
        <w:tc>
          <w:tcPr>
            <w:tcW w:type="dxa" w:w="2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8.18</w:t>
            </w:r>
          </w:p>
        </w:tc>
      </w:tr>
    </w:tbl>
    <w:p>
      <w:pPr>
        <w:spacing w:after="120"/>
      </w:pPr>
    </w:p>
    <w:p>
      <w:pPr>
        <w:pStyle w:val="Heading2"/>
        <w:spacing w:after="120" w:before="240"/>
      </w:pPr>
      <w:r>
        <w:rPr>
          <w:rFonts w:ascii="Arial" w:cs="Arial" w:eastAsia="Arial" w:hAnsi="Arial"/>
          <w:b/>
          <w:bCs/>
          <w:color w:val="1976D2"/>
          <w:sz w:val="24"/>
          <w:szCs w:val="24"/>
        </w:rPr>
        <w:t xml:space="preserve">3.2 Old Formula vs New 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FFFFFF" w:sz="1"/>
              <w:left w:val="single" w:color="FFFFFF" w:sz="1"/>
              <w:bottom w:val="single" w:color="FFFFFF" w:sz="1"/>
              <w:right w:val="single" w:color="FFFFFF" w:sz="1"/>
            </w:tcBorders>
            <w:shd w:fill="0F2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613"/>
            <w:tcBorders>
              <w:top w:val="single" w:color="FFFFFF" w:sz="1"/>
              <w:left w:val="single" w:color="FFFFFF" w:sz="1"/>
              <w:bottom w:val="single" w:color="FFFFFF" w:sz="1"/>
              <w:right w:val="single" w:color="FFFFFF" w:sz="1"/>
            </w:tcBorders>
            <w:shd w:fill="0F2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Old Formula</w:t>
            </w:r>
          </w:p>
        </w:tc>
        <w:tc>
          <w:tcPr>
            <w:tcW w:type="dxa" w:w="3613"/>
            <w:tcBorders>
              <w:top w:val="single" w:color="FFFFFF" w:sz="1"/>
              <w:left w:val="single" w:color="FFFFFF" w:sz="1"/>
              <w:bottom w:val="single" w:color="FFFFFF" w:sz="1"/>
              <w:right w:val="single" w:color="FFFFFF" w:sz="1"/>
            </w:tcBorders>
            <w:shd w:fill="0F2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New Formula</w:t>
            </w:r>
          </w:p>
        </w:tc>
      </w:tr>
      <w:tr>
        <w:tc>
          <w:tcPr>
            <w:tcW w:type="dxa" w:w="18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bCs/>
                <w:color w:val="0F2057"/>
                <w:sz w:val="18"/>
                <w:szCs w:val="18"/>
              </w:rPr>
              <w:t xml:space="preserve">Python Code</w:t>
            </w:r>
          </w:p>
        </w:tc>
        <w:tc>
          <w:tcPr>
            <w:tcW w:type="dxa" w:w="3613"/>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Courier New" w:cs="Courier New" w:eastAsia="Courier New" w:hAnsi="Courier New"/>
                <w:color w:val="0F2057"/>
                <w:sz w:val="17"/>
                <w:szCs w:val="17"/>
              </w:rPr>
              <w:t xml:space="preserve">if mp == 0:</w:t>
            </w:r>
          </w:p>
          <w:p>
            <w:r>
              <w:rPr>
                <w:rFonts w:ascii="Courier New" w:cs="Courier New" w:eastAsia="Courier New" w:hAnsi="Courier New"/>
                <w:color w:val="0F2057"/>
                <w:sz w:val="17"/>
                <w:szCs w:val="17"/>
              </w:rPr>
              <w:t xml:space="preserve">  return min(100, 50 + sp*0.5)</w:t>
            </w:r>
          </w:p>
          <w:p>
            <w:r>
              <w:rPr>
                <w:rFonts w:ascii="Courier New" w:cs="Courier New" w:eastAsia="Courier New" w:hAnsi="Courier New"/>
                <w:color w:val="0F2057"/>
                <w:sz w:val="17"/>
                <w:szCs w:val="17"/>
              </w:rPr>
              <w:t xml:space="preserve">if sp &gt;= mp:</w:t>
            </w:r>
          </w:p>
          <w:p>
            <w:r>
              <w:rPr>
                <w:rFonts w:ascii="Courier New" w:cs="Courier New" w:eastAsia="Courier New" w:hAnsi="Courier New"/>
                <w:color w:val="0F2057"/>
                <w:sz w:val="17"/>
                <w:szCs w:val="17"/>
              </w:rPr>
              <w:t xml:space="preserve">  return min(100, 70+(sp-mp)*0.5)</w:t>
            </w:r>
          </w:p>
          <w:p>
            <w:r>
              <w:rPr>
                <w:rFonts w:ascii="Courier New" w:cs="Courier New" w:eastAsia="Courier New" w:hAnsi="Courier New"/>
                <w:color w:val="0F2057"/>
                <w:sz w:val="17"/>
                <w:szCs w:val="17"/>
              </w:rPr>
              <w:t xml:space="preserve">return max(0, 60-(mp-sp)*1.5)</w:t>
            </w:r>
          </w:p>
        </w:tc>
        <w:tc>
          <w:tcPr>
            <w:tcW w:type="dxa" w:w="3613"/>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Courier New" w:cs="Courier New" w:eastAsia="Courier New" w:hAnsi="Courier New"/>
                <w:color w:val="006400"/>
                <w:sz w:val="17"/>
                <w:szCs w:val="17"/>
              </w:rPr>
              <w:t xml:space="preserve">if mp == 0:</w:t>
            </w:r>
          </w:p>
          <w:p>
            <w:r>
              <w:rPr>
                <w:rFonts w:ascii="Courier New" w:cs="Courier New" w:eastAsia="Courier New" w:hAnsi="Courier New"/>
                <w:color w:val="006400"/>
                <w:sz w:val="17"/>
                <w:szCs w:val="17"/>
              </w:rPr>
              <w:t xml:space="preserve">  return sp</w:t>
            </w:r>
          </w:p>
          <w:p>
            <w:r>
              <w:rPr>
                <w:rFonts w:ascii="Courier New" w:cs="Courier New" w:eastAsia="Courier New" w:hAnsi="Courier New"/>
                <w:color w:val="006400"/>
                <w:sz w:val="17"/>
                <w:szCs w:val="17"/>
              </w:rPr>
              <w:t xml:space="preserve">return min(100, (sp/mp)*100)</w:t>
            </w:r>
          </w:p>
        </w:tc>
      </w:tr>
      <w:tr>
        <w:tc>
          <w:tcPr>
            <w:tcW w:type="dxa" w:w="18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bCs/>
                <w:color w:val="0F2057"/>
                <w:sz w:val="18"/>
                <w:szCs w:val="18"/>
              </w:rPr>
              <w:t xml:space="preserve">Issue</w:t>
            </w:r>
          </w:p>
        </w:tc>
        <w:tc>
          <w:tcPr>
            <w:tcW w:type="dxa" w:w="3613"/>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vAlign w:val="center"/>
          </w:tcPr>
          <w:p>
            <w:r>
              <w:rPr>
                <w:rFonts w:ascii="Arial" w:cs="Arial" w:eastAsia="Arial" w:hAnsi="Arial"/>
                <w:b w:val="false"/>
                <w:bCs w:val="false"/>
                <w:color w:val="E53935"/>
                <w:sz w:val="18"/>
                <w:szCs w:val="18"/>
              </w:rPr>
              <w:t xml:space="preserve">When min_pajsk=0, formula added an artificial bonus: 50+(sp*0.5), which does not reflect the student's actual score.</w:t>
            </w:r>
          </w:p>
        </w:tc>
        <w:tc>
          <w:tcPr>
            <w:tcW w:type="dxa" w:w="3613"/>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val="false"/>
                <w:bCs w:val="false"/>
                <w:color w:val="388E3C"/>
                <w:sz w:val="18"/>
                <w:szCs w:val="18"/>
              </w:rPr>
              <w:t xml:space="preserve">No issue — direct ratio calculation between student score and scholarship requirement.</w:t>
            </w:r>
          </w:p>
        </w:tc>
      </w:tr>
      <w:tr>
        <w:tc>
          <w:tcPr>
            <w:tcW w:type="dxa" w:w="18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bCs/>
                <w:color w:val="0F2057"/>
                <w:sz w:val="18"/>
                <w:szCs w:val="18"/>
              </w:rPr>
              <w:t xml:space="preserve">Example (NURUL HIDAYAH vs JPA PKJM)</w:t>
            </w:r>
          </w:p>
        </w:tc>
        <w:tc>
          <w:tcPr>
            <w:tcW w:type="dxa" w:w="3613"/>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vAlign w:val="center"/>
          </w:tcPr>
          <w:p>
            <w:r>
              <w:rPr>
                <w:rFonts w:ascii="Arial" w:cs="Arial" w:eastAsia="Arial" w:hAnsi="Arial"/>
                <w:b w:val="false"/>
                <w:bCs w:val="false"/>
                <w:color w:val="E53935"/>
                <w:sz w:val="18"/>
                <w:szCs w:val="18"/>
              </w:rPr>
              <w:t xml:space="preserve">pajskScore=96.4, min_pajsk=0 =&gt; 50+(96.4*0.5) = 98.2  (INCORRECT)</w:t>
            </w:r>
          </w:p>
        </w:tc>
        <w:tc>
          <w:tcPr>
            <w:tcW w:type="dxa" w:w="3613"/>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val="false"/>
                <w:bCs w:val="false"/>
                <w:color w:val="388E3C"/>
                <w:sz w:val="18"/>
                <w:szCs w:val="18"/>
              </w:rPr>
              <w:t xml:space="preserve">pajskScore=96.4, min_pajsk=0 =&gt; return 96.4  (CORRECT — use score directly)</w:t>
            </w:r>
          </w:p>
        </w:tc>
      </w:tr>
    </w:tbl>
    <w:p>
      <w:pPr>
        <w:spacing w:after="120"/>
      </w:pPr>
    </w:p>
    <w:p>
      <w:pPr>
        <w:pStyle w:val="Heading2"/>
        <w:spacing w:after="120" w:before="240"/>
      </w:pPr>
      <w:r>
        <w:rPr>
          <w:rFonts w:ascii="Arial" w:cs="Arial" w:eastAsia="Arial" w:hAnsi="Arial"/>
          <w:b/>
          <w:bCs/>
          <w:color w:val="1976D2"/>
          <w:sz w:val="24"/>
          <w:szCs w:val="24"/>
        </w:rPr>
        <w:t xml:space="preserve">3.3 New Formula Logic</w:t>
      </w:r>
    </w:p>
    <w:p>
      <w:pPr>
        <w:spacing w:after="120"/>
        <w:jc w:val="both"/>
      </w:pPr>
      <w:r>
        <w:rPr>
          <w:rFonts w:ascii="Arial" w:cs="Arial" w:eastAsia="Arial" w:hAnsi="Arial"/>
          <w:color w:val="4B4B4B"/>
          <w:sz w:val="20"/>
          <w:szCs w:val="20"/>
        </w:rPr>
        <w:t xml:space="preserve">The new formula handles two clear cases:</w:t>
      </w:r>
    </w:p>
    <w:p>
      <w:pPr>
        <w:pStyle w:val="ListParagraph"/>
        <w:numPr>
          <w:ilvl w:val="0"/>
          <w:numId w:val="2"/>
        </w:numPr>
        <w:spacing w:after="80"/>
      </w:pPr>
      <w:r>
        <w:rPr>
          <w:rFonts w:ascii="Arial" w:cs="Arial" w:eastAsia="Arial" w:hAnsi="Arial"/>
          <w:b/>
          <w:bCs/>
          <w:color w:val="0F2057"/>
          <w:sz w:val="19"/>
          <w:szCs w:val="19"/>
        </w:rPr>
        <w:t xml:space="preserve">Case 1: min_pajsk = 0 (no requirement): </w:t>
      </w:r>
      <w:r>
        <w:rPr>
          <w:rFonts w:ascii="Arial" w:cs="Arial" w:eastAsia="Arial" w:hAnsi="Arial"/>
          <w:color w:val="4B4B4B"/>
          <w:sz w:val="19"/>
          <w:szCs w:val="19"/>
        </w:rPr>
        <w:t xml:space="preserve">The scholarship sets no minimum PAJSK threshold. The student's own pajskScore is returned directly as the factor. Example: pajskScore=96.4 =&gt; PAJSK Factor = 96.4</w:t>
      </w:r>
    </w:p>
    <w:p>
      <w:pPr>
        <w:pStyle w:val="ListParagraph"/>
        <w:numPr>
          <w:ilvl w:val="0"/>
          <w:numId w:val="2"/>
        </w:numPr>
        <w:spacing w:after="80"/>
      </w:pPr>
      <w:r>
        <w:rPr>
          <w:rFonts w:ascii="Arial" w:cs="Arial" w:eastAsia="Arial" w:hAnsi="Arial"/>
          <w:b/>
          <w:bCs/>
          <w:color w:val="0F2057"/>
          <w:sz w:val="19"/>
          <w:szCs w:val="19"/>
        </w:rPr>
        <w:t xml:space="preserve">Case 2: min_pajsk &gt; 0 (threshold exists): </w:t>
      </w:r>
      <w:r>
        <w:rPr>
          <w:rFonts w:ascii="Arial" w:cs="Arial" w:eastAsia="Arial" w:hAnsi="Arial"/>
          <w:color w:val="4B4B4B"/>
          <w:sz w:val="19"/>
          <w:szCs w:val="19"/>
        </w:rPr>
        <w:t xml:space="preserve">Ratio: (student pajskScore / threshold x 100), capped at 100. Example: pajskScore=96.4, threshold=81.8 =&gt; min(100, 96.4/81.8 x 100) = min(100, 117.8) = 100</w:t>
      </w:r>
    </w:p>
    <w:p>
      <w:pPr>
        <w:spacing w:after="120"/>
      </w:pPr>
    </w:p>
    <w:p>
      <w:pPr>
        <w:pStyle w:val="Heading2"/>
        <w:spacing w:after="120" w:before="240"/>
      </w:pPr>
      <w:r>
        <w:rPr>
          <w:rFonts w:ascii="Arial" w:cs="Arial" w:eastAsia="Arial" w:hAnsi="Arial"/>
          <w:b/>
          <w:bCs/>
          <w:color w:val="1976D2"/>
          <w:sz w:val="24"/>
          <w:szCs w:val="24"/>
        </w:rPr>
        <w:t xml:space="preserve">3.4 File Modified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c>
          <w:tcPr>
            <w:tcW w:type="dxa" w:w="2800"/>
            <w:tcBorders>
              <w:top w:val="single" w:color="FFFFFF" w:sz="1"/>
              <w:left w:val="single" w:color="FFFFFF" w:sz="1"/>
              <w:bottom w:val="single" w:color="FFFFFF" w:sz="1"/>
              <w:right w:val="single" w:color="FFFFFF" w:sz="1"/>
            </w:tcBorders>
            <w:shd w:fill="388E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w:t>
            </w:r>
          </w:p>
        </w:tc>
        <w:tc>
          <w:tcPr>
            <w:tcW w:type="dxa" w:w="2400"/>
            <w:tcBorders>
              <w:top w:val="single" w:color="FFFFFF" w:sz="1"/>
              <w:left w:val="single" w:color="FFFFFF" w:sz="1"/>
              <w:bottom w:val="single" w:color="FFFFFF" w:sz="1"/>
              <w:right w:val="single" w:color="FFFFFF" w:sz="1"/>
            </w:tcBorders>
            <w:shd w:fill="388E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3826"/>
            <w:tcBorders>
              <w:top w:val="single" w:color="FFFFFF" w:sz="1"/>
              <w:left w:val="single" w:color="FFFFFF" w:sz="1"/>
              <w:bottom w:val="single" w:color="FFFFFF" w:sz="1"/>
              <w:right w:val="single" w:color="FFFFFF" w:sz="1"/>
            </w:tcBorders>
            <w:shd w:fill="388E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Change</w:t>
            </w:r>
          </w:p>
        </w:tc>
      </w:tr>
      <w:tr>
        <w:tc>
          <w:tcPr>
            <w:tcW w:type="dxa" w:w="28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bCs/>
                <w:color w:val="388E3C"/>
                <w:sz w:val="18"/>
                <w:szCs w:val="18"/>
              </w:rPr>
              <w:t xml:space="preserve">Agent2/agent2.py</w:t>
            </w:r>
          </w:p>
        </w:tc>
        <w:tc>
          <w:tcPr>
            <w:tcW w:type="dxa" w:w="24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score_pajsk()</w:t>
            </w:r>
          </w:p>
        </w:tc>
        <w:tc>
          <w:tcPr>
            <w:tcW w:type="dxa" w:w="3826"/>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6-line complex formula replaced with 2-line direct ratio logic</w:t>
            </w:r>
          </w:p>
        </w:tc>
      </w:tr>
    </w:tbl>
    <w:p>
      <w:pPr>
        <w:spacing w:after="120"/>
      </w:pPr>
    </w:p>
    <w:p>
      <w:pPr>
        <w:spacing w:after="120"/>
      </w:pPr>
    </w:p>
    <w:p>
      <w:pPr>
        <w:pStyle w:val="Heading1"/>
        <w:pBdr>
          <w:bottom w:val="single" w:color="0F2057" w:sz="6" w:space="4"/>
        </w:pBdr>
        <w:spacing w:after="160" w:before="320"/>
      </w:pPr>
      <w:r>
        <w:rPr>
          <w:rFonts w:ascii="Arial" w:cs="Arial" w:eastAsia="Arial" w:hAnsi="Arial"/>
          <w:b/>
          <w:bCs/>
          <w:color w:val="0F2057"/>
          <w:sz w:val="28"/>
          <w:szCs w:val="28"/>
        </w:rPr>
        <w:t xml:space="preserve">4. Agent 1 and Agent 2 Re-run</w:t>
      </w:r>
    </w:p>
    <w:p>
      <w:pPr>
        <w:spacing w:after="120"/>
        <w:jc w:val="both"/>
      </w:pPr>
      <w:r>
        <w:rPr>
          <w:rFonts w:ascii="Arial" w:cs="Arial" w:eastAsia="Arial" w:hAnsi="Arial"/>
          <w:color w:val="4B4B4B"/>
          <w:sz w:val="20"/>
          <w:szCs w:val="20"/>
        </w:rPr>
        <w:t xml:space="preserve">After the PAJSK formula change, both agents were re-executed to regenerate updated student profiles and scholarship matching results for all 50 students.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600"/>
        <w:gridCol w:w="1826"/>
      </w:tblGrid>
      <w:tr>
        <w:tc>
          <w:tcPr>
            <w:tcW w:type="dxa" w:w="800"/>
            <w:tcBorders>
              <w:top w:val="single" w:color="FFFFFF" w:sz="1"/>
              <w:left w:val="single" w:color="FFFFFF" w:sz="1"/>
              <w:bottom w:val="single" w:color="FFFFFF" w:sz="1"/>
              <w:right w:val="single" w:color="FFFFFF" w:sz="1"/>
            </w:tcBorders>
            <w:shd w:fill="1976D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800"/>
            <w:tcBorders>
              <w:top w:val="single" w:color="FFFFFF" w:sz="1"/>
              <w:left w:val="single" w:color="FFFFFF" w:sz="1"/>
              <w:bottom w:val="single" w:color="FFFFFF" w:sz="1"/>
              <w:right w:val="single" w:color="FFFFFF" w:sz="1"/>
            </w:tcBorders>
            <w:shd w:fill="1976D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Command</w:t>
            </w:r>
          </w:p>
        </w:tc>
        <w:tc>
          <w:tcPr>
            <w:tcW w:type="dxa" w:w="3600"/>
            <w:tcBorders>
              <w:top w:val="single" w:color="FFFFFF" w:sz="1"/>
              <w:left w:val="single" w:color="FFFFFF" w:sz="1"/>
              <w:bottom w:val="single" w:color="FFFFFF" w:sz="1"/>
              <w:right w:val="single" w:color="FFFFFF" w:sz="1"/>
            </w:tcBorders>
            <w:shd w:fill="1976D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w:t>
            </w:r>
          </w:p>
        </w:tc>
        <w:tc>
          <w:tcPr>
            <w:tcW w:type="dxa" w:w="1826"/>
            <w:tcBorders>
              <w:top w:val="single" w:color="FFFFFF" w:sz="1"/>
              <w:left w:val="single" w:color="FFFFFF" w:sz="1"/>
              <w:bottom w:val="single" w:color="FFFFFF" w:sz="1"/>
              <w:right w:val="single" w:color="FFFFFF" w:sz="1"/>
            </w:tcBorders>
            <w:shd w:fill="1976D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8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1</w:t>
            </w:r>
          </w:p>
        </w:tc>
        <w:tc>
          <w:tcPr>
            <w:tcW w:type="dxa" w:w="28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node agent1.js</w:t>
            </w:r>
          </w:p>
        </w:tc>
        <w:tc>
          <w:tcPr>
            <w:tcW w:type="dxa" w:w="36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Agent1/output.json (50 profiles regenerated)</w:t>
            </w:r>
          </w:p>
        </w:tc>
        <w:tc>
          <w:tcPr>
            <w:tcW w:type="dxa" w:w="1826"/>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vAlign w:val="center"/>
          </w:tcPr>
          <w:p>
            <w:r>
              <w:rPr>
                <w:rFonts w:ascii="Arial" w:cs="Arial" w:eastAsia="Arial" w:hAnsi="Arial"/>
                <w:b/>
                <w:bCs/>
                <w:color w:val="388E3C"/>
                <w:sz w:val="18"/>
                <w:szCs w:val="18"/>
              </w:rPr>
              <w:t xml:space="preserve">Successful</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2</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python agent2.py --batch</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Agent2/matches.json (50 students x 10 scholarships)</w:t>
            </w:r>
          </w:p>
        </w:tc>
        <w:tc>
          <w:tcPr>
            <w:tcW w:type="dxa" w:w="1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388E3C"/>
                <w:sz w:val="18"/>
                <w:szCs w:val="18"/>
              </w:rPr>
              <w:t xml:space="preserve">Successful</w:t>
            </w:r>
          </w:p>
        </w:tc>
      </w:tr>
      <w:tr>
        <w:tc>
          <w:tcPr>
            <w:tcW w:type="dxa" w:w="8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3</w:t>
            </w:r>
          </w:p>
        </w:tc>
        <w:tc>
          <w:tcPr>
            <w:tcW w:type="dxa" w:w="28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python agent2.py --single SBP5IK050</w:t>
            </w:r>
          </w:p>
        </w:tc>
        <w:tc>
          <w:tcPr>
            <w:tcW w:type="dxa" w:w="36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Agent2/matches_SBP5IK050.json (verification run)</w:t>
            </w:r>
          </w:p>
        </w:tc>
        <w:tc>
          <w:tcPr>
            <w:tcW w:type="dxa" w:w="1826"/>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vAlign w:val="center"/>
          </w:tcPr>
          <w:p>
            <w:r>
              <w:rPr>
                <w:rFonts w:ascii="Arial" w:cs="Arial" w:eastAsia="Arial" w:hAnsi="Arial"/>
                <w:b/>
                <w:bCs/>
                <w:color w:val="388E3C"/>
                <w:sz w:val="18"/>
                <w:szCs w:val="18"/>
              </w:rPr>
              <w:t xml:space="preserve">Verified</w:t>
            </w:r>
          </w:p>
        </w:tc>
      </w:tr>
    </w:tbl>
    <w:p>
      <w:pPr>
        <w:spacing w:after="120"/>
      </w:pPr>
    </w:p>
    <w:p>
      <w:pPr>
        <w:pStyle w:val="Heading2"/>
        <w:spacing w:after="120" w:before="240"/>
      </w:pPr>
      <w:r>
        <w:rPr>
          <w:rFonts w:ascii="Arial" w:cs="Arial" w:eastAsia="Arial" w:hAnsi="Arial"/>
          <w:b/>
          <w:bCs/>
          <w:color w:val="1976D2"/>
          <w:sz w:val="24"/>
          <w:szCs w:val="24"/>
        </w:rPr>
        <w:t xml:space="preserve">4.1 Verification Result — NURUL HIDAYAH BINTI NORDIN (SBP5IK050)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FFFFFF" w:sz="1"/>
              <w:left w:val="single" w:color="FFFFFF" w:sz="1"/>
              <w:bottom w:val="single" w:color="FFFFFF" w:sz="1"/>
              <w:right w:val="single" w:color="FFFFFF" w:sz="1"/>
            </w:tcBorders>
            <w:shd w:fill="0F2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Scholarship (PAJSK threshold)</w:t>
            </w:r>
          </w:p>
        </w:tc>
        <w:tc>
          <w:tcPr>
            <w:tcW w:type="dxa" w:w="2000"/>
            <w:tcBorders>
              <w:top w:val="single" w:color="FFFFFF" w:sz="1"/>
              <w:left w:val="single" w:color="FFFFFF" w:sz="1"/>
              <w:bottom w:val="single" w:color="FFFFFF" w:sz="1"/>
              <w:right w:val="single" w:color="FFFFFF" w:sz="1"/>
            </w:tcBorders>
            <w:shd w:fill="0F2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Old PAJSK Factor</w:t>
            </w:r>
          </w:p>
        </w:tc>
        <w:tc>
          <w:tcPr>
            <w:tcW w:type="dxa" w:w="2000"/>
            <w:tcBorders>
              <w:top w:val="single" w:color="FFFFFF" w:sz="1"/>
              <w:left w:val="single" w:color="FFFFFF" w:sz="1"/>
              <w:bottom w:val="single" w:color="FFFFFF" w:sz="1"/>
              <w:right w:val="single" w:color="FFFFFF" w:sz="1"/>
            </w:tcBorders>
            <w:shd w:fill="0F2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New PAJSK Factor</w:t>
            </w:r>
          </w:p>
        </w:tc>
        <w:tc>
          <w:tcPr>
            <w:tcW w:type="dxa" w:w="2026"/>
            <w:tcBorders>
              <w:top w:val="single" w:color="FFFFFF" w:sz="1"/>
              <w:left w:val="single" w:color="FFFFFF" w:sz="1"/>
              <w:bottom w:val="single" w:color="FFFFFF" w:sz="1"/>
              <w:right w:val="single" w:color="FFFFFF" w:sz="1"/>
            </w:tcBorders>
            <w:shd w:fill="0F2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30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JPA PKJM (min_pajsk = 0.00)</w:t>
            </w:r>
          </w:p>
        </w:tc>
        <w:tc>
          <w:tcPr>
            <w:tcW w:type="dxa" w:w="20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vAlign w:val="center"/>
          </w:tcPr>
          <w:p>
            <w:r>
              <w:rPr>
                <w:rFonts w:ascii="Arial" w:cs="Arial" w:eastAsia="Arial" w:hAnsi="Arial"/>
                <w:b w:val="false"/>
                <w:bCs w:val="false"/>
                <w:color w:val="E53935"/>
                <w:sz w:val="18"/>
                <w:szCs w:val="18"/>
              </w:rPr>
              <w:t xml:space="preserve">98.2  (incorrect)</w:t>
            </w:r>
          </w:p>
        </w:tc>
        <w:tc>
          <w:tcPr>
            <w:tcW w:type="dxa" w:w="20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bCs/>
                <w:color w:val="388E3C"/>
                <w:sz w:val="18"/>
                <w:szCs w:val="18"/>
              </w:rPr>
              <w:t xml:space="preserve">96.4  (direct score)</w:t>
            </w:r>
          </w:p>
        </w:tc>
        <w:tc>
          <w:tcPr>
            <w:tcW w:type="dxa" w:w="2026"/>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bCs/>
                <w:color w:val="388E3C"/>
                <w:sz w:val="18"/>
                <w:szCs w:val="18"/>
              </w:rPr>
              <w:t xml:space="preserve">Fixed</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Yayasan Pahang (min_pajsk = 0.00)</w:t>
            </w:r>
          </w:p>
        </w:tc>
        <w:tc>
          <w:tcPr>
            <w:tcW w:type="dxa" w:w="20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vAlign w:val="center"/>
          </w:tcPr>
          <w:p>
            <w:r>
              <w:rPr>
                <w:rFonts w:ascii="Arial" w:cs="Arial" w:eastAsia="Arial" w:hAnsi="Arial"/>
                <w:b w:val="false"/>
                <w:bCs w:val="false"/>
                <w:color w:val="E53935"/>
                <w:sz w:val="18"/>
                <w:szCs w:val="18"/>
              </w:rPr>
              <w:t xml:space="preserve">98.2  (incorrect)</w:t>
            </w:r>
          </w:p>
        </w:tc>
        <w:tc>
          <w:tcPr>
            <w:tcW w:type="dxa" w:w="20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bCs/>
                <w:color w:val="388E3C"/>
                <w:sz w:val="18"/>
                <w:szCs w:val="18"/>
              </w:rPr>
              <w:t xml:space="preserve">96.4  (direct score)</w:t>
            </w:r>
          </w:p>
        </w:tc>
        <w:tc>
          <w:tcPr>
            <w:tcW w:type="dxa" w:w="2026"/>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bCs/>
                <w:color w:val="388E3C"/>
                <w:sz w:val="18"/>
                <w:szCs w:val="18"/>
              </w:rPr>
              <w:t xml:space="preserve">Fixed</w:t>
            </w:r>
          </w:p>
        </w:tc>
      </w:tr>
      <w:tr>
        <w:tc>
          <w:tcPr>
            <w:tcW w:type="dxa" w:w="30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YTN TNB (min_pajsk = 8.18)</w:t>
            </w:r>
          </w:p>
        </w:tc>
        <w:tc>
          <w:tcPr>
            <w:tcW w:type="dxa" w:w="2000"/>
            <w:tcBorders>
              <w:top w:val="single" w:color="E0E0E0" w:sz="1"/>
              <w:left w:val="single" w:color="E0E0E0" w:sz="1"/>
              <w:bottom w:val="single" w:color="E0E0E0" w:sz="1"/>
              <w:right w:val="single" w:color="E0E0E0" w:sz="1"/>
            </w:tcBorders>
            <w:shd w:fill="F3F4F6"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Previous formula</w:t>
            </w:r>
          </w:p>
        </w:tc>
        <w:tc>
          <w:tcPr>
            <w:tcW w:type="dxa" w:w="20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bCs/>
                <w:color w:val="388E3C"/>
                <w:sz w:val="18"/>
                <w:szCs w:val="18"/>
              </w:rPr>
              <w:t xml:space="preserve">100  (96.4/81.8x100)</w:t>
            </w:r>
          </w:p>
        </w:tc>
        <w:tc>
          <w:tcPr>
            <w:tcW w:type="dxa" w:w="2026"/>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bCs/>
                <w:color w:val="388E3C"/>
                <w:sz w:val="18"/>
                <w:szCs w:val="18"/>
              </w:rPr>
              <w:t xml:space="preserve">Accurate</w:t>
            </w:r>
          </w:p>
        </w:tc>
      </w:tr>
    </w:tbl>
    <w:p>
      <w:pPr>
        <w:spacing w:after="120"/>
      </w:pPr>
    </w:p>
    <w:p>
      <w:pPr>
        <w:spacing w:after="120"/>
      </w:pPr>
    </w:p>
    <w:p>
      <w:pPr>
        <w:pStyle w:val="Heading1"/>
        <w:pBdr>
          <w:bottom w:val="single" w:color="0F2057" w:sz="6" w:space="4"/>
        </w:pBdr>
        <w:spacing w:after="160" w:before="320"/>
      </w:pPr>
      <w:r>
        <w:rPr>
          <w:rFonts w:ascii="Arial" w:cs="Arial" w:eastAsia="Arial" w:hAnsi="Arial"/>
          <w:b/>
          <w:bCs/>
          <w:color w:val="0F2057"/>
          <w:sz w:val="28"/>
          <w:szCs w:val="28"/>
        </w:rPr>
        <w:t xml:space="preserve">5. Conclusion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600"/>
        <w:gridCol w:w="2826"/>
      </w:tblGrid>
      <w:tr>
        <w:tc>
          <w:tcPr>
            <w:tcW w:type="dxa" w:w="600"/>
            <w:tcBorders>
              <w:top w:val="single" w:color="FFFFFF" w:sz="1"/>
              <w:left w:val="single" w:color="FFFFFF" w:sz="1"/>
              <w:bottom w:val="single" w:color="FFFFFF" w:sz="1"/>
              <w:right w:val="single" w:color="FFFFFF" w:sz="1"/>
            </w:tcBorders>
            <w:shd w:fill="0F2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4000"/>
            <w:tcBorders>
              <w:top w:val="single" w:color="FFFFFF" w:sz="1"/>
              <w:left w:val="single" w:color="FFFFFF" w:sz="1"/>
              <w:bottom w:val="single" w:color="FFFFFF" w:sz="1"/>
              <w:right w:val="single" w:color="FFFFFF" w:sz="1"/>
            </w:tcBorders>
            <w:shd w:fill="0F2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Improvement</w:t>
            </w:r>
          </w:p>
        </w:tc>
        <w:tc>
          <w:tcPr>
            <w:tcW w:type="dxa" w:w="1600"/>
            <w:tcBorders>
              <w:top w:val="single" w:color="FFFFFF" w:sz="1"/>
              <w:left w:val="single" w:color="FFFFFF" w:sz="1"/>
              <w:bottom w:val="single" w:color="FFFFFF" w:sz="1"/>
              <w:right w:val="single" w:color="FFFFFF" w:sz="1"/>
            </w:tcBorders>
            <w:shd w:fill="0F2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2826"/>
            <w:tcBorders>
              <w:top w:val="single" w:color="FFFFFF" w:sz="1"/>
              <w:left w:val="single" w:color="FFFFFF" w:sz="1"/>
              <w:bottom w:val="single" w:color="FFFFFF" w:sz="1"/>
              <w:right w:val="single" w:color="FFFFFF" w:sz="1"/>
            </w:tcBorders>
            <w:shd w:fill="0F2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r>
      <w:tr>
        <w:tc>
          <w:tcPr>
            <w:tcW w:type="dxa" w:w="60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1</w:t>
            </w:r>
          </w:p>
        </w:tc>
        <w:tc>
          <w:tcPr>
            <w:tcW w:type="dxa" w:w="400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UI Transformation to KPM DELIMa Theme — colour palette, Montserrat font, logo, profile card, 3-column layout, side panels, RIASEC colours, mint card backgrounds.</w:t>
            </w:r>
          </w:p>
        </w:tc>
        <w:tc>
          <w:tcPr>
            <w:tcW w:type="dxa" w:w="160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vAlign w:val="center"/>
          </w:tcPr>
          <w:p>
            <w:r>
              <w:rPr>
                <w:rFonts w:ascii="Arial" w:cs="Arial" w:eastAsia="Arial" w:hAnsi="Arial"/>
                <w:b/>
                <w:bCs/>
                <w:color w:val="7B1FA2"/>
                <w:sz w:val="18"/>
                <w:szCs w:val="18"/>
              </w:rPr>
              <w:t xml:space="preserve">Complete</w:t>
            </w:r>
          </w:p>
        </w:tc>
        <w:tc>
          <w:tcPr>
            <w:tcW w:type="dxa" w:w="2826"/>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UI is now consistent with the DELIMa KPM ecosystem; improved student UX.</w:t>
            </w:r>
          </w:p>
        </w:tc>
      </w:tr>
      <w:tr>
        <w:tc>
          <w:tcPr>
            <w:tcW w:type="dxa" w:w="6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2</w:t>
            </w:r>
          </w:p>
        </w:tc>
        <w:tc>
          <w:tcPr>
            <w:tcW w:type="dxa" w:w="40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PAJSK Formula Fix in Agent 2 — direct ratio: min(100, sp/mp*100); returns sp directly when min_pajsk=0.</w:t>
            </w:r>
          </w:p>
        </w:tc>
        <w:tc>
          <w:tcPr>
            <w:tcW w:type="dxa" w:w="16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bCs/>
                <w:color w:val="388E3C"/>
                <w:sz w:val="18"/>
                <w:szCs w:val="18"/>
              </w:rPr>
              <w:t xml:space="preserve">Complete</w:t>
            </w:r>
          </w:p>
        </w:tc>
        <w:tc>
          <w:tcPr>
            <w:tcW w:type="dxa" w:w="2826"/>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r>
              <w:rPr>
                <w:rFonts w:ascii="Arial" w:cs="Arial" w:eastAsia="Arial" w:hAnsi="Arial"/>
                <w:b w:val="false"/>
                <w:bCs w:val="false"/>
                <w:color w:val="4B4B4B"/>
                <w:sz w:val="18"/>
                <w:szCs w:val="18"/>
              </w:rPr>
              <w:t xml:space="preserve">PAJSK factor scores now accurately reflect actual student vs scholarship comparison.</w:t>
            </w:r>
          </w:p>
        </w:tc>
      </w:tr>
    </w:tbl>
    <w:p>
      <w:pPr>
        <w:spacing w:after="120"/>
      </w:pPr>
    </w:p>
    <w:p>
      <w:pPr>
        <w:spacing w:after="120"/>
        <w:jc w:val="both"/>
      </w:pPr>
      <w:r>
        <w:rPr>
          <w:rFonts w:ascii="Arial" w:cs="Arial" w:eastAsia="Arial" w:hAnsi="Arial"/>
          <w:color w:val="4B4B4B"/>
          <w:sz w:val="20"/>
          <w:szCs w:val="20"/>
        </w:rPr>
        <w:t xml:space="preserve">With Phase 3 complete, the system now features a user interface that is fully aligned with the KPM DELIMa ecosystem and a more accurate and transparent matching engine. Both improvements strengthen the overall quality of the system from the perspectives of user experience and data integrity.</w:t>
      </w:r>
    </w:p>
    <w:p>
      <w:pPr>
        <w:spacing w:after="120"/>
      </w:pPr>
    </w:p>
    <w:p>
      <w:pPr>
        <w:pBdr>
          <w:top w:val="single" w:color="0F2057" w:sz="4" w:space="4"/>
        </w:pBdr>
        <w:spacing w:before="160"/>
        <w:jc w:val="center"/>
      </w:pPr>
      <w:r>
        <w:rPr>
          <w:rFonts w:ascii="Arial" w:cs="Arial" w:eastAsia="Arial" w:hAnsi="Arial"/>
          <w:i/>
          <w:iCs/>
          <w:color w:val="888888"/>
          <w:sz w:val="15"/>
          <w:szCs w:val="15"/>
        </w:rPr>
        <w:t xml:space="preserve">This report was auto-generated by the AI-Powered Scholarship Matching System — Phase 3  |  SBP Ibnu Khaldun  |  KPM DELIMa Platform  |  July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057" w:sz="4" w:space="1"/>
      </w:pBd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057" w:sz="4" w:space="1"/>
      </w:pBdr>
      <w:tabs>
        <w:tab w:val="right" w:pos="9026"/>
      </w:tabs>
    </w:pPr>
    <w:r>
      <w:rPr>
        <w:rFonts w:ascii="Arial" w:cs="Arial" w:eastAsia="Arial" w:hAnsi="Arial"/>
        <w:color w:val="888888"/>
        <w:sz w:val="16"/>
        <w:szCs w:val="16"/>
      </w:rPr>
      <w:t xml:space="preserve">AI-Powered Scholarship Matching System  |  Technical Report Phase 3</w:t>
    </w:r>
    <w:r>
      <w:rPr>
        <w:sz w:val="16"/>
        <w:szCs w:val="16"/>
      </w:rPr>
      <w:t xml:space="preserve">	</w:t>
    </w:r>
    <w:r>
      <w:rPr>
        <w:rFonts w:ascii="Arial" w:cs="Arial" w:eastAsia="Arial" w:hAnsi="Arial"/>
        <w:color w:val="888888"/>
        <w:sz w:val="16"/>
        <w:szCs w:val="16"/>
      </w:rPr>
      <w:t xml:space="preserve">SBP Ibnu Khaldun  |  KPM DELIMa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4B4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2057"/>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976D2"/>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88E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2026-07-07T00:59:13.580Z</dcterms:created>
  <dcterms:modified xsi:type="dcterms:W3CDTF">2026-07-07T00:59:13.580Z</dcterms:modified>
</cp:coreProperties>
</file>

<file path=docProps/custom.xml><?xml version="1.0" encoding="utf-8"?>
<Properties xmlns="http://schemas.openxmlformats.org/officeDocument/2006/custom-properties" xmlns:vt="http://schemas.openxmlformats.org/officeDocument/2006/docPropsVTypes"/>
</file>