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实时显示模块开发文档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编制单位：深圳市万测试验设备有限公司</w:t>
      </w:r>
    </w:p>
    <w:p>
      <w:pPr>
        <w:spacing w:line="360" w:lineRule="auto"/>
        <w:ind w:firstLine="1687" w:firstLineChars="700"/>
        <w:rPr>
          <w:rFonts w:hint="default" w:ascii="仿宋_GB2312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制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人：李强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胡建国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核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批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准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编制日期：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>2022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年</w:t>
      </w:r>
      <w:r>
        <w:rPr>
          <w:rFonts w:hint="eastAsia" w:ascii="仿宋_GB2312" w:hAnsi="宋体" w:eastAsia="仿宋_GB2312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月</w:t>
      </w: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编号：0012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20907</w:t>
      </w:r>
      <w:r>
        <w:rPr>
          <w:rFonts w:hint="eastAsia" w:ascii="仿宋_GB2312" w:hAnsi="宋体" w:eastAsia="仿宋_GB2312"/>
          <w:sz w:val="24"/>
          <w:szCs w:val="24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680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文件状态：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草稿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正式发布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版本升级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文件标识：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当前版本：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当前作者：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完成日期：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仿宋_GB2312" w:hAnsi="宋体" w:eastAsia="仿宋_GB2312"/>
          <w:sz w:val="24"/>
          <w:szCs w:val="24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版本说明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60"/>
        <w:gridCol w:w="1106"/>
        <w:gridCol w:w="1485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_Toc3146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_Toc3146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_Toc31374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_Toc11574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_Toc11574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_Toc5782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_Toc5782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_Toc10591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_Toc10591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_Toc19323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需求调研</w:t>
          </w:r>
          <w:r>
            <w:tab/>
          </w:r>
          <w:r>
            <w:fldChar w:fldCharType="begin"/>
          </w:r>
          <w:r>
            <w:instrText xml:space="preserve"> PAGEREF _Toc19323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_Toc16430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1、需求概述</w:t>
          </w:r>
          <w:r>
            <w:tab/>
          </w:r>
          <w:r>
            <w:fldChar w:fldCharType="begin"/>
          </w:r>
          <w:r>
            <w:instrText xml:space="preserve"> PAGEREF _Toc16430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_Toc20908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2、模块结构</w:t>
          </w:r>
          <w:r>
            <w:tab/>
          </w:r>
          <w:r>
            <w:fldChar w:fldCharType="begin"/>
          </w:r>
          <w:r>
            <w:instrText xml:space="preserve"> PAGEREF _Toc20908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_Toc3167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三、程序描述</w:t>
          </w:r>
          <w:r>
            <w:tab/>
          </w:r>
          <w:r>
            <w:fldChar w:fldCharType="begin"/>
          </w:r>
          <w:r>
            <w:instrText xml:space="preserve"> PAGEREF _Toc3167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_Toc5361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1、功能说明</w:t>
          </w:r>
          <w:r>
            <w:tab/>
          </w:r>
          <w:r>
            <w:fldChar w:fldCharType="begin"/>
          </w:r>
          <w:r>
            <w:instrText xml:space="preserve"> PAGEREF _Toc5361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_Toc32422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输入项目</w:t>
          </w:r>
          <w:r>
            <w:tab/>
          </w:r>
          <w:r>
            <w:fldChar w:fldCharType="begin"/>
          </w:r>
          <w:r>
            <w:instrText xml:space="preserve"> PAGEREF _Toc32422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_Toc28408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输出项目</w:t>
          </w:r>
          <w:r>
            <w:tab/>
          </w:r>
          <w:r>
            <w:fldChar w:fldCharType="begin"/>
          </w:r>
          <w:r>
            <w:instrText xml:space="preserve"> PAGEREF _Toc28408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_Toc11935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2、设计说明</w:t>
          </w:r>
          <w:r>
            <w:tab/>
          </w:r>
          <w:r>
            <w:fldChar w:fldCharType="begin"/>
          </w:r>
          <w:r>
            <w:instrText xml:space="preserve"> PAGEREF _Toc11935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_Toc13063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_Toc13063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_Toc15399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数据库存储</w:t>
          </w:r>
          <w:r>
            <w:tab/>
          </w:r>
          <w:r>
            <w:fldChar w:fldCharType="begin"/>
          </w:r>
          <w:r>
            <w:instrText xml:space="preserve"> PAGEREF _Toc15399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_Toc31855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_Toc31855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_Toc3213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_Toc3213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_Toc32125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_Toc32125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_Toc19008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3、测试说明</w:t>
          </w:r>
          <w:r>
            <w:tab/>
          </w:r>
          <w:r>
            <w:fldChar w:fldCharType="begin"/>
          </w:r>
          <w:r>
            <w:instrText xml:space="preserve"> PAGEREF _Toc19008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56"/>
              <w:szCs w:val="96"/>
              <w:lang w:val="en-US" w:eastAsia="zh-CN"/>
            </w:rPr>
          </w:pP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46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374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80" w:firstLineChars="200"/>
        <w:rPr>
          <w:rFonts w:hint="eastAsia" w:ascii="新宋体" w:hAnsi="新宋体" w:eastAsia="新宋体" w:cs="新宋体"/>
          <w:sz w:val="24"/>
        </w:rPr>
      </w:pPr>
      <w:r>
        <w:rPr>
          <w:rFonts w:hint="eastAsia" w:ascii="新宋体" w:hAnsi="新宋体" w:eastAsia="新宋体" w:cs="新宋体"/>
          <w:sz w:val="24"/>
        </w:rPr>
        <w:t>为了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更好的展示试验过程中的各项数据指标</w:t>
      </w:r>
      <w:r>
        <w:rPr>
          <w:rFonts w:hint="eastAsia" w:ascii="新宋体" w:hAnsi="新宋体" w:eastAsia="新宋体" w:cs="新宋体"/>
          <w:sz w:val="24"/>
        </w:rPr>
        <w:t>，提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升用户体验</w:t>
      </w:r>
      <w:r>
        <w:rPr>
          <w:rFonts w:hint="eastAsia" w:ascii="新宋体" w:hAnsi="新宋体" w:eastAsia="新宋体" w:cs="新宋体"/>
          <w:sz w:val="24"/>
        </w:rPr>
        <w:t>。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对TestPilot3.0</w:t>
      </w:r>
      <w:r>
        <w:rPr>
          <w:rFonts w:hint="eastAsia" w:ascii="新宋体" w:hAnsi="新宋体" w:eastAsia="新宋体" w:cs="新宋体"/>
          <w:sz w:val="24"/>
        </w:rPr>
        <w:t>试验机管理软件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的实时显示模块进行封装、</w:t>
      </w:r>
      <w:r>
        <w:rPr>
          <w:rFonts w:hint="eastAsia" w:ascii="新宋体" w:hAnsi="新宋体" w:eastAsia="新宋体" w:cs="新宋体"/>
          <w:sz w:val="24"/>
        </w:rPr>
        <w:t>升级。需求的调研方式主要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参考Instron试验机管理软件与TestPilot2.2试验机</w:t>
      </w:r>
      <w:r>
        <w:rPr>
          <w:rFonts w:hint="eastAsia" w:ascii="新宋体" w:hAnsi="新宋体" w:eastAsia="新宋体" w:cs="新宋体"/>
          <w:sz w:val="24"/>
        </w:rPr>
        <w:t>管理软件。在模块功能上，使软件开发人员能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明确具体</w:t>
      </w:r>
      <w:r>
        <w:rPr>
          <w:rFonts w:hint="eastAsia" w:ascii="新宋体" w:hAnsi="新宋体" w:eastAsia="新宋体" w:cs="新宋体"/>
          <w:sz w:val="24"/>
        </w:rPr>
        <w:t>需求，并在此基础之上进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行代码结构</w:t>
      </w:r>
      <w:r>
        <w:rPr>
          <w:rFonts w:hint="eastAsia" w:ascii="新宋体" w:hAnsi="新宋体" w:eastAsia="新宋体" w:cs="新宋体"/>
          <w:sz w:val="24"/>
        </w:rPr>
        <w:t>设计与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编码</w:t>
      </w:r>
      <w:r>
        <w:rPr>
          <w:rFonts w:hint="eastAsia" w:ascii="新宋体" w:hAnsi="新宋体" w:eastAsia="新宋体" w:cs="新宋体"/>
          <w:sz w:val="24"/>
        </w:rPr>
        <w:t>开发工作。本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文档</w:t>
      </w:r>
      <w:r>
        <w:rPr>
          <w:rFonts w:hint="eastAsia" w:ascii="新宋体" w:hAnsi="新宋体" w:eastAsia="新宋体" w:cs="新宋体"/>
          <w:sz w:val="24"/>
        </w:rPr>
        <w:t>的预期的读者为，软件开发人员</w:t>
      </w:r>
      <w:r>
        <w:rPr>
          <w:rFonts w:hint="eastAsia" w:ascii="新宋体" w:hAnsi="新宋体" w:eastAsia="新宋体" w:cs="新宋体"/>
          <w:sz w:val="24"/>
          <w:lang w:eastAsia="zh-CN"/>
        </w:rPr>
        <w:t>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项目经理、公司各级领导</w:t>
      </w:r>
      <w:r>
        <w:rPr>
          <w:rFonts w:hint="eastAsia" w:ascii="新宋体" w:hAnsi="新宋体" w:eastAsia="新宋体" w:cs="新宋体"/>
          <w:sz w:val="24"/>
        </w:rPr>
        <w:t>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574"/>
      <w:r>
        <w:rPr>
          <w:rFonts w:hint="eastAsia"/>
          <w:lang w:val="en-US" w:eastAsia="zh-CN"/>
        </w:rPr>
        <w:t>背景</w:t>
      </w:r>
      <w:bookmarkEnd w:id="2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作为新版本的试验机管理软件，应继承老版本试验机管理软件的优势与特点，摒弃拙劣的功能与操作。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782"/>
      <w:r>
        <w:rPr>
          <w:rFonts w:hint="eastAsia"/>
          <w:lang w:val="en-US" w:eastAsia="zh-CN"/>
        </w:rPr>
        <w:t>定义</w:t>
      </w:r>
      <w:bookmarkEnd w:id="3"/>
    </w:p>
    <w:p>
      <w:pPr>
        <w:ind w:firstLine="480" w:firstLineChars="20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Decimal Places：小数位，即小数点后显示几位小数。</w:t>
      </w:r>
    </w:p>
    <w:p>
      <w:pPr>
        <w:ind w:firstLine="480" w:firstLineChars="20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Unit: 单位对象，包括单位，所属单位群。</w:t>
      </w:r>
    </w:p>
    <w:p>
      <w:pPr>
        <w:ind w:firstLine="480" w:firstLineChars="20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AvailableParametersArr：“可用”集合</w:t>
      </w:r>
    </w:p>
    <w:p>
      <w:pPr>
        <w:ind w:firstLine="480" w:firstLineChars="20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DeterMiniedParametersArr：“选定”集合</w:t>
      </w:r>
    </w:p>
    <w:p>
      <w:pPr>
        <w:ind w:firstLine="480" w:firstLineChars="20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GaugeItemInfo：通道对象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10591"/>
      <w:r>
        <w:rPr>
          <w:rFonts w:hint="eastAsia"/>
          <w:lang w:val="en-US" w:eastAsia="zh-CN"/>
        </w:rPr>
        <w:t>总体设计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323"/>
      <w:r>
        <w:rPr>
          <w:rFonts w:hint="eastAsia"/>
          <w:lang w:val="en-US" w:eastAsia="zh-CN"/>
        </w:rPr>
        <w:t>需求调研</w:t>
      </w:r>
      <w:bookmarkEnd w:id="5"/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TestPilot2.2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的控制台 包括测量实时显示，功能键，机架控制，状态显示等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实时显示内容直接在区域上操作即可完成，如：通道的增删，单位的修改，小数位修改，修改通道类型等。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优点：通道与方法无关，切换方法不影响实时显示区。直接界面编辑无需繁琐操作，直接设置。可以快速清零。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缺点：无法添加规定之外的通道，方法切换可能存在试样方法不需要该通道的情况（上一个试样方法展示的通道），需要操作员自己做调整。展示通道数最多支持六个。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Instron Bluehill 3的控制台根据方法绑定，方法不同展示不同。在编辑方法时就编辑好了控制台，根据测量和计算两个模块交互得到可选通道，选定通道为实时显示的通道，选择可编辑名称，单位，小数位等。功能键包括调零，全部调零，暂停/恢复试验，移除引伸计等。展示区也可编辑调整通道功能键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优点：通道可以自定义，通道和功能键可以根随方法切换变动。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缺点：比旧版学习成本高。通道最多展示四个。数据比较全面，可能大部分使用不到。</w:t>
      </w:r>
    </w:p>
    <w:p>
      <w:pPr>
        <w:numPr>
          <w:ilvl w:val="0"/>
          <w:numId w:val="0"/>
        </w:numPr>
        <w:ind w:left="420"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需求确定点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hint="eastAsia"/>
          <w:lang w:val="en-US" w:eastAsia="zh-CN"/>
        </w:rPr>
        <w:t>确定所需的计算组</w:t>
      </w:r>
    </w:p>
    <w:p>
      <w:pPr>
        <w:numPr>
          <w:numId w:val="0"/>
        </w:numPr>
        <w:ind w:left="420"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375535"/>
            <wp:effectExtent l="0" t="0" r="1016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375535"/>
            <wp:effectExtent l="0" t="0" r="1016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确定需要的功能键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75535"/>
            <wp:effectExtent l="0" t="0" r="1016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430"/>
      <w:r>
        <w:rPr>
          <w:rFonts w:hint="eastAsia"/>
          <w:lang w:val="en-US" w:eastAsia="zh-CN"/>
        </w:rPr>
        <w:t>1、需求概述</w:t>
      </w:r>
      <w:bookmarkEnd w:id="6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本模块的主要功能是编辑控制台，包括编辑实时显示，功能键，机架，夹具。具体需求如下: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编辑实时显示: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“可用实时显示”列表根据“测量”模块选定的集合和“计算”模块算定的集合生成。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实时显示子模块功能介绍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对通道数进行增加删除， 可编辑通道的提示，单位，小数位，刷新频率。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编辑功能键: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功能键区域功能介绍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对功能键的数量进行增加删除，可编辑功能键的名称，源。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编辑机架：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功能键区域功能介绍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设置试验区间：高于横梁/低于横梁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编辑夹具: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功能键区域功能介绍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是否启用预拉伸，展示预拉伸说明，设置预拉伸值和单位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是否启用过度拉伸，展示过度拉伸说明，设置过度拉伸值和单位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“可用”集合向“选定”集合添加功能: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“可用”集合删除指定项，“选定”集合添加指定项。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“选定”集合删除功能:</w:t>
      </w:r>
    </w:p>
    <w:p>
      <w:pPr>
        <w:numPr>
          <w:ilvl w:val="0"/>
          <w:numId w:val="2"/>
        </w:numPr>
        <w:tabs>
          <w:tab w:val="left" w:pos="312"/>
          <w:tab w:val="clear" w:pos="420"/>
        </w:tabs>
        <w:ind w:left="840" w:leftChars="0" w:hanging="420" w:firstLine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“选定”集合删除指定项，指定项还原未编辑状态，“选定”集合添加指定项。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908"/>
      <w:r>
        <w:rPr>
          <w:rFonts w:hint="eastAsia"/>
          <w:lang w:val="en-US" w:eastAsia="zh-CN"/>
        </w:rPr>
        <w:t>2、模块结构</w:t>
      </w:r>
      <w:bookmarkEnd w:id="7"/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该模块是方法参数的子模块控制台，又分为实时显示，功能键，机架，夹具四个子模块。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选择要编辑的子模块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显示面板的参数设置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参数设置完成后， 即时写入数据库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根据参数设置响应显示面板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90576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167"/>
      <w:r>
        <w:rPr>
          <w:rFonts w:hint="eastAsia"/>
          <w:lang w:val="en-US" w:eastAsia="zh-CN"/>
        </w:rPr>
        <w:t>三、程序描述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361"/>
      <w:r>
        <w:rPr>
          <w:rFonts w:hint="eastAsia"/>
          <w:lang w:val="en-US" w:eastAsia="zh-CN"/>
        </w:rPr>
        <w:t>1、功能说明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编辑控制台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</w:p>
    <w:p>
      <w:pPr>
        <w:pStyle w:val="18"/>
        <w:keepNext w:val="0"/>
        <w:keepLines w:val="0"/>
        <w:widowControl/>
        <w:suppressLineNumbers w:val="0"/>
        <w:ind w:leftChars="20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t>实时显示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：编辑控制台区域的实时显示</w:t>
      </w:r>
    </w:p>
    <w:p>
      <w:pPr>
        <w:pStyle w:val="18"/>
        <w:keepNext w:val="0"/>
        <w:keepLines w:val="0"/>
        <w:widowControl/>
        <w:suppressLineNumbers w:val="0"/>
        <w:ind w:leftChars="20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t>功能键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：编辑控制台区域的功能键，将功能分配给功能键</w:t>
      </w:r>
    </w:p>
    <w:p>
      <w:pPr>
        <w:pStyle w:val="18"/>
        <w:keepNext w:val="0"/>
        <w:keepLines w:val="0"/>
        <w:widowControl/>
        <w:suppressLineNumbers w:val="0"/>
        <w:ind w:leftChars="20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t>机架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：设置机架参数。显示的参数取决于当前机架配置，包括控制器的类型和机架型号。</w:t>
      </w:r>
    </w:p>
    <w:p>
      <w:pPr>
        <w:pStyle w:val="18"/>
        <w:keepNext w:val="0"/>
        <w:keepLines w:val="0"/>
        <w:widowControl/>
        <w:suppressLineNumbers w:val="0"/>
        <w:ind w:leftChars="20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t>夹具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：设置夹具控制参数。对于气动绳线夹具，夹具控制是一个可选功能。如果没有安装自动空气控制套件，系统将忽略这些设置。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2422"/>
      <w:r>
        <w:rPr>
          <w:rFonts w:hint="eastAsia"/>
          <w:lang w:val="en-US" w:eastAsia="zh-CN"/>
        </w:rPr>
        <w:t>输入项目</w:t>
      </w:r>
      <w:bookmarkEnd w:id="10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传感器数据: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试验过程中，所有已选的传感器值，都将做为实时展示的输入项，其中部分数据需要经过计算后，再进行实时显示。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通道参数: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数据在实时显示前，要对通道各参数进行基本的配置(例如：名称、单位、小数位等)，使得数据更直观，便于用户理解。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功能键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：控制台区域展示功能键的基本配置，（例如：说明及功能键源）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机架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：试验区间选择（例如：高于横梁还是低于横梁）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夹具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：设置夹具控制参数 (例如：预拉伸，过度拉伸的启用和值设置）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408"/>
      <w:r>
        <w:rPr>
          <w:rFonts w:hint="eastAsia"/>
          <w:lang w:val="en-US" w:eastAsia="zh-CN"/>
        </w:rPr>
        <w:t>输出项目</w:t>
      </w:r>
      <w:bookmarkEnd w:id="11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通道数据: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试验过程中已选通道的数据参数与结果值。由于该值是动态变化、不断增加的，为有效监控，会通过刷新频率算法进行显示。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数据库数据: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参与试验中进行计算的结果值即时保存，写入数据库对应的表字段，同时保存到方法参数.XML文件中。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1935"/>
      <w:r>
        <w:rPr>
          <w:rFonts w:hint="eastAsia"/>
          <w:lang w:val="en-US" w:eastAsia="zh-CN"/>
        </w:rPr>
        <w:t>2、设计说明</w:t>
      </w:r>
      <w:bookmarkEnd w:id="12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控制台编辑面板设计思路主要来源于TestPilot2.2试验机管理软件与instron试验机软件。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控制台显示面板可通过控制台编辑UI进行自行设定，建议最多四个功能键，最多展示十二个通道。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控制台区域中 ：实时显示区在屏幕顶部，始终可见。实时显示来自选定测量或选定结果的数据。面板展示大小自适应，白底黑字。实时显示区域鼠标右键点击弹出操作列表，定义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Collections.LiveDisplayGaugeItemInfos</w:t>
      </w:r>
      <w:r>
        <w:rPr>
          <w:rFonts w:hint="eastAsia" w:ascii="新宋体" w:hAnsi="新宋体" w:eastAsia="新宋体" w:cs="新宋体"/>
          <w:color w:val="000000"/>
          <w:sz w:val="24"/>
          <w:szCs w:val="24"/>
          <w:lang w:val="en-US" w:eastAsia="zh-CN"/>
        </w:rPr>
        <w:t>全局的集合。前端界面绑定这个全局集合， 编辑测量编辑这个全局集合即可影响展示的个数和内容。功能键区在屏幕底部，测试方法使用过程中显示。灰底白字，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面板展示大小自适应。</w:t>
      </w:r>
      <w:r>
        <w:rPr>
          <w:rFonts w:hint="eastAsia" w:ascii="新宋体" w:hAnsi="新宋体" w:eastAsia="新宋体" w:cs="新宋体"/>
          <w:color w:val="000000"/>
          <w:sz w:val="24"/>
          <w:szCs w:val="24"/>
          <w:lang w:val="en-US" w:eastAsia="zh-CN"/>
        </w:rPr>
        <w:t>功能键区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域鼠标右键点击弹出操作列表，定义一个</w:t>
      </w:r>
      <w:r>
        <w:rPr>
          <w:rFonts w:hint="eastAsia" w:ascii="新宋体" w:hAnsi="新宋体" w:eastAsia="新宋体" w:cs="新宋体"/>
          <w:color w:val="000000"/>
          <w:sz w:val="24"/>
          <w:szCs w:val="24"/>
          <w:lang w:val="en-US" w:eastAsia="zh-CN"/>
        </w:rPr>
        <w:t>全局集合。前端界面绑定这个全局集合， 编辑测量编辑这个全局集合即可影响展示的个数和内容。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3" w:name="_Toc13063"/>
      <w:r>
        <w:rPr>
          <w:rFonts w:hint="eastAsia"/>
          <w:lang w:val="en-US" w:eastAsia="zh-CN"/>
        </w:rPr>
        <w:t>程序逻辑</w:t>
      </w:r>
      <w:bookmarkEnd w:id="13"/>
    </w:p>
    <w:p>
      <w:pPr>
        <w:rPr>
          <w:rFonts w:hint="default" w:eastAsia="新宋体"/>
          <w:lang w:val="en-US" w:eastAsia="zh-CN"/>
        </w:rPr>
      </w:pPr>
      <w:r>
        <w:drawing>
          <wp:inline distT="0" distB="0" distL="114300" distR="114300">
            <wp:extent cx="5270500" cy="38722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4" w:name="_Toc15399"/>
      <w:r>
        <w:rPr>
          <w:rFonts w:hint="eastAsia"/>
          <w:lang w:val="en-US" w:eastAsia="zh-CN"/>
        </w:rPr>
        <w:t>数据库存储</w:t>
      </w:r>
      <w:bookmarkEnd w:id="14"/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Collections.LiveDisplayGaugeItemInfos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数据对象是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ObservableCollection&lt;GaugeItemInfo&gt;()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集合，集合中每一个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GaugeItemInfo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对应数据库测量表的一条数据</w:t>
      </w:r>
    </w:p>
    <w:tbl>
      <w:tblPr>
        <w:tblStyle w:val="9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74"/>
        <w:gridCol w:w="841"/>
        <w:gridCol w:w="947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1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通道名称</w:t>
            </w:r>
          </w:p>
        </w:tc>
        <w:tc>
          <w:tcPr>
            <w:tcW w:w="127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通道单位</w:t>
            </w:r>
          </w:p>
        </w:tc>
        <w:tc>
          <w:tcPr>
            <w:tcW w:w="84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小数位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最大量程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。。。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zCs w:val="24"/>
                <w:vertAlign w:val="baseline"/>
                <w:lang w:val="en-US" w:eastAsia="zh-CN"/>
              </w:rPr>
              <w:t>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17" w:type="dxa"/>
          </w:tcPr>
          <w:p>
            <w:pPr>
              <w:rPr>
                <w:rFonts w:hint="default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  <w:t>保存当前通道名称</w:t>
            </w:r>
          </w:p>
        </w:tc>
        <w:tc>
          <w:tcPr>
            <w:tcW w:w="1274" w:type="dxa"/>
          </w:tcPr>
          <w:p>
            <w:pPr>
              <w:rPr>
                <w:rFonts w:hint="default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  <w:t>保存当前通道的数值单位</w:t>
            </w:r>
          </w:p>
        </w:tc>
        <w:tc>
          <w:tcPr>
            <w:tcW w:w="841" w:type="dxa"/>
            <w:vAlign w:val="top"/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  <w:t>保存当前通道的数值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="新宋体" w:hAnsi="新宋体" w:eastAsia="新宋体" w:cstheme="minorBidi"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  <w:t>保存当前通道的数值所显示的小数位</w:t>
            </w:r>
          </w:p>
        </w:tc>
        <w:tc>
          <w:tcPr>
            <w:tcW w:w="1446" w:type="dxa"/>
          </w:tcPr>
          <w:p>
            <w:pPr>
              <w:rPr>
                <w:rFonts w:hint="default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  <w:t>本字段针对力值通道，保存最大力</w:t>
            </w:r>
          </w:p>
        </w:tc>
        <w:tc>
          <w:tcPr>
            <w:tcW w:w="1446" w:type="dxa"/>
          </w:tcPr>
          <w:p>
            <w:pP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eastAsia" w:ascii="新宋体" w:hAnsi="新宋体" w:eastAsia="新宋体"/>
                <w:color w:val="000000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117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4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Collections.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SoftKey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ItemInfos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功能键名称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功能键源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5" w:name="_Toc31855"/>
      <w:r>
        <w:rPr>
          <w:rFonts w:hint="eastAsia"/>
          <w:lang w:val="en-US" w:eastAsia="zh-CN"/>
        </w:rPr>
        <w:t>接口</w:t>
      </w:r>
      <w:bookmarkEnd w:id="15"/>
    </w:p>
    <w:tbl>
      <w:tblPr>
        <w:tblStyle w:val="9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1549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5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Set</w:t>
            </w:r>
            <w:r>
              <w:rPr>
                <w:rStyle w:val="13"/>
                <w:rFonts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Channel</w:t>
            </w:r>
            <w:r>
              <w:rPr>
                <w:rStyle w:val="13"/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FFFFF"/>
                <w:lang w:val="en-US" w:eastAsia="zh-CN"/>
              </w:rPr>
              <w:t>(uint ChannelNo)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无符号整形通道编号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设置显示通道编号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SetChannelUnit(Uint ChannelUnit)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无符号整形通道单位 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设置显示通道单位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SetDecimalPlaces(Uint Channel, Uint nb)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无符号整形通编号，与小数位值 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设置显示通道小数位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Set</w:t>
            </w:r>
            <w:r>
              <w:rPr>
                <w:rStyle w:val="13"/>
                <w:rFonts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Channel</w:t>
            </w:r>
            <w:r>
              <w:rPr>
                <w:rStyle w:val="13"/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FFFFF"/>
                <w:lang w:val="en-US" w:eastAsia="zh-CN"/>
              </w:rPr>
              <w:t>Name(uint ChannelNo)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无符号整形通道编号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设置显示通道名称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AddChannel()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ModflyChannel(</w:t>
            </w:r>
            <w:r>
              <w:rPr>
                <w:rStyle w:val="13"/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FFFFF"/>
                <w:lang w:val="en-US" w:eastAsia="zh-CN"/>
              </w:rPr>
              <w:t>uint ChannelNo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无符号整形通道编号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修改已有通道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SetSoftKeyName(string name)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功能键名称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设置功能键名称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SetSoftKeySource(string source)</w:t>
            </w: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功能键源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成功返回0，失败返回错误码-1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设置功能键源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6" w:name="_Toc3213"/>
      <w:r>
        <w:rPr>
          <w:rFonts w:hint="eastAsia"/>
          <w:lang w:val="en-US" w:eastAsia="zh-CN"/>
        </w:rPr>
        <w:t>属性</w:t>
      </w:r>
      <w:bookmarkEnd w:id="16"/>
    </w:p>
    <w:p>
      <w:pPr>
        <w:rPr>
          <w:rFonts w:hint="eastAsia"/>
          <w:lang w:val="en-US" w:eastAsia="zh-CN"/>
        </w:rPr>
      </w:pP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Collections.LiveDisplayGaugeItemInfos:测量集合</w:t>
      </w:r>
    </w:p>
    <w:p>
      <w:pPr>
        <w:ind w:firstLine="190" w:firstLine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GaugeItemInfo：测量数据对象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ID：分类</w:t>
      </w:r>
    </w:p>
    <w:p>
      <w:pPr>
        <w:ind w:left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Index：测量索引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Title：测量的名称</w:t>
      </w:r>
    </w:p>
    <w:p>
      <w:pPr>
        <w:ind w:left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Unit：测量的单位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DispalyValue：测量值/计算结果值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IsPreTestLimit：是否设置预实验限位</w:t>
      </w:r>
    </w:p>
    <w:p>
      <w:pPr>
        <w:ind w:left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PreMaximum：最大值及量程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PreMinimum：最小值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IsRate：是否启用速率测量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RateExplain：速率说明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DataPointCount：数据点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IsUsingLinearRegression：是否使用线性回归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IsTrueStrainControl：是否启用真应变控制（只用于测试控制）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Sensor：传感器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Joint：接头</w:t>
      </w:r>
    </w:p>
    <w:p>
      <w:pPr>
        <w:ind w:left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UserDefinedTitle：用户自定义的名称，（多语言切换不会跟着切换）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DefaultTitle：默认名称，（多语言切换会跟着切换）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CacheTitle:缓存第一次设置UserDefinedTitle（单独用于测量模块和控制台实时显示模块的联动处理）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DecimalPlaces：小数位数</w:t>
      </w:r>
    </w:p>
    <w:p>
      <w:pPr>
        <w:ind w:left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UnitSetName：单位群的名称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Tag：扩展字段</w:t>
      </w: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Collections.SoftKeyItemInfos:测量集合</w:t>
      </w: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SoftKey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ItemInfo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功能键对象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Index：索引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Title：功能键名称</w:t>
      </w:r>
    </w:p>
    <w:p>
      <w:pPr>
        <w:ind w:left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Source：功能键源</w:t>
      </w:r>
    </w:p>
    <w:p>
      <w:pPr>
        <w:ind w:firstLine="190" w:firstLine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IsOnTheBeam：是否高于横梁（Yes：高于横梁，No：低于横梁）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GripInfo：夹具对象</w:t>
      </w:r>
    </w:p>
    <w:p>
      <w:pPr>
        <w:ind w:left="420" w:left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IsPretensioning:是否启用预拉伸</w:t>
      </w:r>
    </w:p>
    <w:p>
      <w:pPr>
        <w:ind w:left="420" w:left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PretensionValue:预拉伸值</w:t>
      </w:r>
    </w:p>
    <w:p>
      <w:pPr>
        <w:ind w:left="420" w:left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PretensionUnit预拉伸单位</w:t>
      </w:r>
    </w:p>
    <w:p>
      <w:pPr>
        <w:ind w:left="420" w:left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IsOverstretch：是否启用过度拉伸</w:t>
      </w:r>
    </w:p>
    <w:p>
      <w:pPr>
        <w:ind w:left="420" w:left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OverstretchValue：过度拉伸值</w:t>
      </w:r>
    </w:p>
    <w:p>
      <w:pPr>
        <w:ind w:left="420" w:left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OverstretchUnit：过度拉伸单位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7" w:name="_Toc32125"/>
      <w:r>
        <w:rPr>
          <w:rFonts w:hint="eastAsia"/>
          <w:lang w:val="en-US" w:eastAsia="zh-CN"/>
        </w:rPr>
        <w:t>事件</w:t>
      </w:r>
      <w:bookmarkEnd w:id="17"/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通知实时显示区改变事件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通知功能键改变事件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008"/>
      <w:r>
        <w:rPr>
          <w:rFonts w:hint="eastAsia"/>
          <w:lang w:val="en-US" w:eastAsia="zh-CN"/>
        </w:rPr>
        <w:t>3、测试说明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依据测试大纲进行单独测试。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E6306"/>
    <w:multiLevelType w:val="singleLevel"/>
    <w:tmpl w:val="ABCE63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15C3158B"/>
    <w:multiLevelType w:val="singleLevel"/>
    <w:tmpl w:val="15C3158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A6EFB7D"/>
    <w:multiLevelType w:val="singleLevel"/>
    <w:tmpl w:val="1A6EFB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27D175F"/>
    <w:multiLevelType w:val="singleLevel"/>
    <w:tmpl w:val="427D17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CB842C4"/>
    <w:multiLevelType w:val="singleLevel"/>
    <w:tmpl w:val="4CB84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DA40A5D"/>
    <w:multiLevelType w:val="singleLevel"/>
    <w:tmpl w:val="4DA40A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DC5F475"/>
    <w:multiLevelType w:val="singleLevel"/>
    <w:tmpl w:val="4DC5F47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iMTBkMGI1OWNmMGQ4NjJiYTA0NzBkODQwMTExOTAifQ=="/>
  </w:docVars>
  <w:rsids>
    <w:rsidRoot w:val="00172A27"/>
    <w:rsid w:val="01114787"/>
    <w:rsid w:val="01977CE3"/>
    <w:rsid w:val="01B6423F"/>
    <w:rsid w:val="01D343B6"/>
    <w:rsid w:val="02257D8C"/>
    <w:rsid w:val="040B0C0B"/>
    <w:rsid w:val="0438617D"/>
    <w:rsid w:val="05FB5B05"/>
    <w:rsid w:val="06C00937"/>
    <w:rsid w:val="07101D70"/>
    <w:rsid w:val="0A1A041E"/>
    <w:rsid w:val="0A7A4060"/>
    <w:rsid w:val="0AFB05A8"/>
    <w:rsid w:val="0C2B2FE5"/>
    <w:rsid w:val="0C73495F"/>
    <w:rsid w:val="0CE045F1"/>
    <w:rsid w:val="0D350099"/>
    <w:rsid w:val="0EA624AF"/>
    <w:rsid w:val="13C276A4"/>
    <w:rsid w:val="15A03BE3"/>
    <w:rsid w:val="1669594F"/>
    <w:rsid w:val="176C6A20"/>
    <w:rsid w:val="1C1357D3"/>
    <w:rsid w:val="1C406E5A"/>
    <w:rsid w:val="1ECC08B2"/>
    <w:rsid w:val="207C0310"/>
    <w:rsid w:val="223D3D50"/>
    <w:rsid w:val="23FA3D93"/>
    <w:rsid w:val="248606F3"/>
    <w:rsid w:val="24C51C74"/>
    <w:rsid w:val="26064593"/>
    <w:rsid w:val="27E73279"/>
    <w:rsid w:val="2804330F"/>
    <w:rsid w:val="285B1751"/>
    <w:rsid w:val="28884063"/>
    <w:rsid w:val="2A6831CF"/>
    <w:rsid w:val="2AB654D9"/>
    <w:rsid w:val="2C1D668F"/>
    <w:rsid w:val="2D0C4BDB"/>
    <w:rsid w:val="2D4273E9"/>
    <w:rsid w:val="2E3B5913"/>
    <w:rsid w:val="3046078C"/>
    <w:rsid w:val="35350117"/>
    <w:rsid w:val="35A24B9E"/>
    <w:rsid w:val="3C7A0581"/>
    <w:rsid w:val="3D3978CB"/>
    <w:rsid w:val="3E1F4BB5"/>
    <w:rsid w:val="40A76EE1"/>
    <w:rsid w:val="41573E4F"/>
    <w:rsid w:val="41C36348"/>
    <w:rsid w:val="424D3E34"/>
    <w:rsid w:val="42815953"/>
    <w:rsid w:val="42A3136A"/>
    <w:rsid w:val="42DF5B66"/>
    <w:rsid w:val="42FF2758"/>
    <w:rsid w:val="44947E37"/>
    <w:rsid w:val="44ED5522"/>
    <w:rsid w:val="46704942"/>
    <w:rsid w:val="48302F83"/>
    <w:rsid w:val="484237C1"/>
    <w:rsid w:val="48EC0164"/>
    <w:rsid w:val="497E026D"/>
    <w:rsid w:val="4AF0648E"/>
    <w:rsid w:val="4B1F1A9E"/>
    <w:rsid w:val="4C7327B1"/>
    <w:rsid w:val="4CED775C"/>
    <w:rsid w:val="4DE159E1"/>
    <w:rsid w:val="505954B0"/>
    <w:rsid w:val="51144B92"/>
    <w:rsid w:val="5178029F"/>
    <w:rsid w:val="51B3364F"/>
    <w:rsid w:val="5377145E"/>
    <w:rsid w:val="57BF45B5"/>
    <w:rsid w:val="5B2D734D"/>
    <w:rsid w:val="5B4F06C3"/>
    <w:rsid w:val="5C1A6DA6"/>
    <w:rsid w:val="5FA10404"/>
    <w:rsid w:val="608D341E"/>
    <w:rsid w:val="62BC7E8A"/>
    <w:rsid w:val="64B337AF"/>
    <w:rsid w:val="65566FD7"/>
    <w:rsid w:val="661C56E1"/>
    <w:rsid w:val="66B77619"/>
    <w:rsid w:val="682B7D75"/>
    <w:rsid w:val="68CD7BA4"/>
    <w:rsid w:val="68D140BF"/>
    <w:rsid w:val="6B6D6999"/>
    <w:rsid w:val="6C046B2A"/>
    <w:rsid w:val="6D6F2A5F"/>
    <w:rsid w:val="6E980103"/>
    <w:rsid w:val="718F158B"/>
    <w:rsid w:val="76664DF8"/>
    <w:rsid w:val="76DA32A9"/>
    <w:rsid w:val="76F675FA"/>
    <w:rsid w:val="78C3748C"/>
    <w:rsid w:val="78E14D5D"/>
    <w:rsid w:val="79A348A6"/>
    <w:rsid w:val="7F035E62"/>
    <w:rsid w:val="7F4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qFormat/>
    <w:uiPriority w:val="0"/>
    <w:rPr>
      <w:color w:val="0000FF"/>
      <w:u w:val="single"/>
    </w:rPr>
  </w:style>
  <w:style w:type="character" w:styleId="13">
    <w:name w:val="Emphasis"/>
    <w:basedOn w:val="10"/>
    <w:qFormat/>
    <w:uiPriority w:val="0"/>
    <w:rPr>
      <w:i/>
      <w:iCs/>
    </w:rPr>
  </w:style>
  <w:style w:type="character" w:styleId="14">
    <w:name w:val="Hyperlink"/>
    <w:basedOn w:val="10"/>
    <w:qFormat/>
    <w:uiPriority w:val="0"/>
    <w:rPr>
      <w:color w:val="000080"/>
    </w:rPr>
  </w:style>
  <w:style w:type="character" w:customStyle="1" w:styleId="15">
    <w:name w:val="标题 1 Char"/>
    <w:link w:val="2"/>
    <w:qFormat/>
    <w:uiPriority w:val="0"/>
    <w:rPr>
      <w:rFonts w:eastAsia="楷体" w:asciiTheme="minorAscii" w:hAnsiTheme="minorAscii"/>
      <w:b/>
      <w:kern w:val="44"/>
      <w:sz w:val="36"/>
    </w:rPr>
  </w:style>
  <w:style w:type="character" w:customStyle="1" w:styleId="16">
    <w:name w:val="stepnumber"/>
    <w:basedOn w:val="10"/>
    <w:qFormat/>
    <w:uiPriority w:val="0"/>
  </w:style>
  <w:style w:type="character" w:customStyle="1" w:styleId="17">
    <w:name w:val="superscript"/>
    <w:basedOn w:val="10"/>
    <w:qFormat/>
    <w:uiPriority w:val="0"/>
    <w:rPr>
      <w:sz w:val="15"/>
      <w:szCs w:val="15"/>
      <w:vertAlign w:val="superscript"/>
    </w:rPr>
  </w:style>
  <w:style w:type="paragraph" w:customStyle="1" w:styleId="18">
    <w:name w:val="body"/>
    <w:basedOn w:val="1"/>
    <w:qFormat/>
    <w:uiPriority w:val="0"/>
    <w:pPr>
      <w:spacing w:before="160" w:beforeAutospacing="0" w:after="160" w:afterAutospacing="0"/>
      <w:ind w:left="2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19">
    <w:name w:val="subscript"/>
    <w:basedOn w:val="10"/>
    <w:qFormat/>
    <w:uiPriority w:val="0"/>
    <w:rPr>
      <w:vertAlign w:val="subscript"/>
    </w:rPr>
  </w:style>
  <w:style w:type="character" w:customStyle="1" w:styleId="20">
    <w:name w:val="bold"/>
    <w:basedOn w:val="10"/>
    <w:qFormat/>
    <w:uiPriority w:val="0"/>
    <w:rPr>
      <w:b/>
      <w:bCs/>
    </w:rPr>
  </w:style>
  <w:style w:type="character" w:customStyle="1" w:styleId="21">
    <w:name w:val="expandtext"/>
    <w:basedOn w:val="10"/>
    <w:qFormat/>
    <w:uiPriority w:val="0"/>
    <w:rPr>
      <w:i/>
      <w:iCs/>
      <w:color w:val="FF0000"/>
    </w:rPr>
  </w:style>
  <w:style w:type="character" w:customStyle="1" w:styleId="22">
    <w:name w:val="reltopicsbullet1"/>
    <w:basedOn w:val="10"/>
    <w:qFormat/>
    <w:uiPriority w:val="0"/>
    <w:rPr>
      <w:u w:val="none"/>
    </w:rPr>
  </w:style>
  <w:style w:type="character" w:customStyle="1" w:styleId="23">
    <w:name w:val="hardwareindicator"/>
    <w:basedOn w:val="10"/>
    <w:qFormat/>
    <w:uiPriority w:val="0"/>
    <w:rPr>
      <w:b/>
      <w:bCs/>
      <w:caps/>
    </w:rPr>
  </w:style>
  <w:style w:type="character" w:customStyle="1" w:styleId="24">
    <w:name w:val="computerinputtext"/>
    <w:basedOn w:val="10"/>
    <w:qFormat/>
    <w:uiPriority w:val="0"/>
    <w:rPr>
      <w:rFonts w:ascii="Courier New" w:hAnsi="Courier New" w:cs="Courier New"/>
    </w:rPr>
  </w:style>
  <w:style w:type="character" w:customStyle="1" w:styleId="25">
    <w:name w:val="emphasis_wbold"/>
    <w:basedOn w:val="10"/>
    <w:qFormat/>
    <w:uiPriority w:val="0"/>
    <w:rPr>
      <w:b/>
      <w:bCs/>
      <w:i/>
      <w:iCs/>
    </w:rPr>
  </w:style>
  <w:style w:type="character" w:customStyle="1" w:styleId="26">
    <w:name w:val="symbol"/>
    <w:basedOn w:val="10"/>
    <w:qFormat/>
    <w:uiPriority w:val="0"/>
    <w:rPr>
      <w:rFonts w:ascii="Symbol" w:hAnsi="Symbol" w:cs="Symbol"/>
    </w:rPr>
  </w:style>
  <w:style w:type="character" w:customStyle="1" w:styleId="27">
    <w:name w:val="toppagejump"/>
    <w:basedOn w:val="10"/>
    <w:qFormat/>
    <w:uiPriority w:val="0"/>
    <w:rPr>
      <w:rFonts w:ascii="Wingdings 3" w:hAnsi="Wingdings 3" w:eastAsia="Wingdings 3" w:cs="Wingdings 3"/>
      <w:b/>
      <w:bCs/>
      <w:color w:val="0000FF"/>
      <w:sz w:val="28"/>
      <w:szCs w:val="28"/>
    </w:rPr>
  </w:style>
  <w:style w:type="character" w:customStyle="1" w:styleId="28">
    <w:name w:val="bulletsymbol"/>
    <w:basedOn w:val="10"/>
    <w:qFormat/>
    <w:uiPriority w:val="0"/>
    <w:rPr>
      <w:b/>
      <w:bCs/>
    </w:rPr>
  </w:style>
  <w:style w:type="character" w:customStyle="1" w:styleId="29">
    <w:name w:val="underline"/>
    <w:basedOn w:val="10"/>
    <w:qFormat/>
    <w:uiPriority w:val="0"/>
    <w:rPr>
      <w:u w:val="single"/>
    </w:rPr>
  </w:style>
  <w:style w:type="character" w:customStyle="1" w:styleId="30">
    <w:name w:val="callout1"/>
    <w:basedOn w:val="10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2919</Words>
  <Characters>3871</Characters>
  <Lines>0</Lines>
  <Paragraphs>0</Paragraphs>
  <TotalTime>52</TotalTime>
  <ScaleCrop>false</ScaleCrop>
  <LinksUpToDate>false</LinksUpToDate>
  <CharactersWithSpaces>3949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坚果</cp:lastModifiedBy>
  <dcterms:modified xsi:type="dcterms:W3CDTF">2022-09-14T01:51:17Z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4106654C2B9444DA85F3B8349FE3534E</vt:lpwstr>
  </property>
</Properties>
</file>