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实时显示模块开发文档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编制单位：深圳市万测试验设备有限公司</w:t>
      </w:r>
    </w:p>
    <w:p>
      <w:pPr>
        <w:spacing w:line="360" w:lineRule="auto"/>
        <w:ind w:firstLine="1687" w:firstLineChars="700"/>
        <w:rPr>
          <w:rFonts w:hint="default" w:ascii="仿宋_GB2312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制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人：李强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胡建国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审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核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批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准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编制日期：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>2022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年</w:t>
      </w:r>
      <w:r>
        <w:rPr>
          <w:rFonts w:hint="eastAsia" w:ascii="仿宋_GB2312" w:hAnsi="宋体" w:eastAsia="仿宋_GB2312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月</w:t>
      </w: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编号：0012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20907</w:t>
      </w:r>
      <w:r>
        <w:rPr>
          <w:rFonts w:hint="eastAsia" w:ascii="仿宋_GB2312" w:hAnsi="宋体" w:eastAsia="仿宋_GB2312"/>
          <w:sz w:val="24"/>
          <w:szCs w:val="24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文件状态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1680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文件状态：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草稿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正式发布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版本升级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文件标识：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当前版本：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当前作者：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完成日期：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仿宋_GB2312" w:hAnsi="宋体" w:eastAsia="仿宋_GB2312"/>
          <w:sz w:val="24"/>
          <w:szCs w:val="24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版本说明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60"/>
        <w:gridCol w:w="1106"/>
        <w:gridCol w:w="1485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_Toc10866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_Toc10866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_Toc10764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_Toc20045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_Toc20045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_Toc31819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_Toc31819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_Toc22081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_Toc22081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_Toc16377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需求调研</w:t>
          </w:r>
          <w:r>
            <w:tab/>
          </w:r>
          <w:r>
            <w:fldChar w:fldCharType="begin"/>
          </w:r>
          <w:r>
            <w:instrText xml:space="preserve"> PAGEREF _Toc16377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_Toc29108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1、需求概述</w:t>
          </w:r>
          <w:r>
            <w:tab/>
          </w:r>
          <w:r>
            <w:fldChar w:fldCharType="begin"/>
          </w:r>
          <w:r>
            <w:instrText xml:space="preserve"> PAGEREF _Toc29108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_Toc20170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显示面板功能:</w:t>
          </w:r>
          <w:r>
            <w:tab/>
          </w:r>
          <w:r>
            <w:fldChar w:fldCharType="begin"/>
          </w:r>
          <w:r>
            <w:instrText xml:space="preserve"> PAGEREF _Toc20170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_Toc25571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颜色功能:</w:t>
          </w:r>
          <w:r>
            <w:tab/>
          </w:r>
          <w:r>
            <w:fldChar w:fldCharType="begin"/>
          </w:r>
          <w:r>
            <w:instrText xml:space="preserve"> PAGEREF _Toc25571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_Toc22010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清零功能:</w:t>
          </w:r>
          <w:r>
            <w:tab/>
          </w:r>
          <w:r>
            <w:fldChar w:fldCharType="begin"/>
          </w:r>
          <w:r>
            <w:instrText xml:space="preserve"> PAGEREF _Toc22010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_Toc2118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设置通道功能:</w:t>
          </w:r>
          <w:r>
            <w:tab/>
          </w:r>
          <w:r>
            <w:fldChar w:fldCharType="begin"/>
          </w:r>
          <w:r>
            <w:instrText xml:space="preserve"> PAGEREF _Toc2118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_Toc16796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设置刷新频率功能:</w:t>
          </w:r>
          <w:r>
            <w:tab/>
          </w:r>
          <w:r>
            <w:fldChar w:fldCharType="begin"/>
          </w:r>
          <w:r>
            <w:instrText xml:space="preserve"> PAGEREF _Toc16796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_Toc10010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2、模块结构</w:t>
          </w:r>
          <w:r>
            <w:tab/>
          </w:r>
          <w:r>
            <w:fldChar w:fldCharType="begin"/>
          </w:r>
          <w:r>
            <w:instrText xml:space="preserve"> PAGEREF _Toc10010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_Toc31632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三、程序描述</w:t>
          </w:r>
          <w:r>
            <w:tab/>
          </w:r>
          <w:r>
            <w:fldChar w:fldCharType="begin"/>
          </w:r>
          <w:r>
            <w:instrText xml:space="preserve"> PAGEREF _Toc31632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_Toc778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1、功能说明</w:t>
          </w:r>
          <w:r>
            <w:tab/>
          </w:r>
          <w:r>
            <w:fldChar w:fldCharType="begin"/>
          </w:r>
          <w:r>
            <w:instrText xml:space="preserve"> PAGEREF _Toc778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_Toc25335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输入项目</w:t>
          </w:r>
          <w:r>
            <w:tab/>
          </w:r>
          <w:r>
            <w:fldChar w:fldCharType="begin"/>
          </w:r>
          <w:r>
            <w:instrText xml:space="preserve"> PAGEREF _Toc25335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_Toc4433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输出项目</w:t>
          </w:r>
          <w:r>
            <w:tab/>
          </w:r>
          <w:r>
            <w:fldChar w:fldCharType="begin"/>
          </w:r>
          <w:r>
            <w:instrText xml:space="preserve"> PAGEREF _Toc4433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_Toc18515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2、设计说明</w:t>
          </w:r>
          <w:r>
            <w:tab/>
          </w:r>
          <w:r>
            <w:fldChar w:fldCharType="begin"/>
          </w:r>
          <w:r>
            <w:instrText xml:space="preserve"> PAGEREF _Toc18515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_Toc6095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_Toc6095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_Toc23490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数据库存储</w:t>
          </w:r>
          <w:r>
            <w:tab/>
          </w:r>
          <w:r>
            <w:fldChar w:fldCharType="begin"/>
          </w:r>
          <w:r>
            <w:instrText xml:space="preserve"> PAGEREF _Toc23490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_Toc2279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_Toc2279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_Toc9711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_Toc9711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_Toc29469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_Toc29469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_Toc10673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3、测试说明</w:t>
          </w:r>
          <w:r>
            <w:tab/>
          </w:r>
          <w:r>
            <w:fldChar w:fldCharType="begin"/>
          </w:r>
          <w:r>
            <w:instrText xml:space="preserve"> PAGEREF _Toc10673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/>
              <w:bCs/>
              <w:sz w:val="56"/>
              <w:szCs w:val="96"/>
              <w:lang w:val="en-US" w:eastAsia="zh-CN"/>
            </w:rPr>
          </w:pP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0866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764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sz w:val="24"/>
        </w:rPr>
        <w:t>为了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更好的展示试验过程中的各项数据指标</w:t>
      </w:r>
      <w:r>
        <w:rPr>
          <w:rFonts w:hint="eastAsia" w:ascii="新宋体" w:hAnsi="新宋体" w:eastAsia="新宋体" w:cs="新宋体"/>
          <w:sz w:val="24"/>
        </w:rPr>
        <w:t>，提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升用户体验</w:t>
      </w:r>
      <w:r>
        <w:rPr>
          <w:rFonts w:hint="eastAsia" w:ascii="新宋体" w:hAnsi="新宋体" w:eastAsia="新宋体" w:cs="新宋体"/>
          <w:sz w:val="24"/>
        </w:rPr>
        <w:t>。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对TestPilot3.0</w:t>
      </w:r>
      <w:r>
        <w:rPr>
          <w:rFonts w:hint="eastAsia" w:ascii="新宋体" w:hAnsi="新宋体" w:eastAsia="新宋体" w:cs="新宋体"/>
          <w:sz w:val="24"/>
        </w:rPr>
        <w:t>试验机管理软件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的实时显示模块进行封装、</w:t>
      </w:r>
      <w:r>
        <w:rPr>
          <w:rFonts w:hint="eastAsia" w:ascii="新宋体" w:hAnsi="新宋体" w:eastAsia="新宋体" w:cs="新宋体"/>
          <w:sz w:val="24"/>
        </w:rPr>
        <w:t>升级。需求的调研方式主要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参考Instron试验机管理软件与TestPilot2.2试验机</w:t>
      </w:r>
      <w:r>
        <w:rPr>
          <w:rFonts w:hint="eastAsia" w:ascii="新宋体" w:hAnsi="新宋体" w:eastAsia="新宋体" w:cs="新宋体"/>
          <w:sz w:val="24"/>
        </w:rPr>
        <w:t>管理软件。在模块功能上，使软件开发人员能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明确具体</w:t>
      </w:r>
      <w:r>
        <w:rPr>
          <w:rFonts w:hint="eastAsia" w:ascii="新宋体" w:hAnsi="新宋体" w:eastAsia="新宋体" w:cs="新宋体"/>
          <w:sz w:val="24"/>
        </w:rPr>
        <w:t>需求，并在此基础之上进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行代码结构</w:t>
      </w:r>
      <w:r>
        <w:rPr>
          <w:rFonts w:hint="eastAsia" w:ascii="新宋体" w:hAnsi="新宋体" w:eastAsia="新宋体" w:cs="新宋体"/>
          <w:sz w:val="24"/>
        </w:rPr>
        <w:t>设计与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编码</w:t>
      </w:r>
      <w:r>
        <w:rPr>
          <w:rFonts w:hint="eastAsia" w:ascii="新宋体" w:hAnsi="新宋体" w:eastAsia="新宋体" w:cs="新宋体"/>
          <w:sz w:val="24"/>
        </w:rPr>
        <w:t>开发工作。本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文档</w:t>
      </w:r>
      <w:r>
        <w:rPr>
          <w:rFonts w:hint="eastAsia" w:ascii="新宋体" w:hAnsi="新宋体" w:eastAsia="新宋体" w:cs="新宋体"/>
          <w:sz w:val="24"/>
        </w:rPr>
        <w:t>的预期的读者为，软件开发人员</w:t>
      </w:r>
      <w:r>
        <w:rPr>
          <w:rFonts w:hint="eastAsia" w:ascii="新宋体" w:hAnsi="新宋体" w:eastAsia="新宋体" w:cs="新宋体"/>
          <w:sz w:val="24"/>
          <w:lang w:eastAsia="zh-CN"/>
        </w:rPr>
        <w:t>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项目经理、公司各级领导</w:t>
      </w:r>
      <w:r>
        <w:rPr>
          <w:rFonts w:hint="eastAsia" w:ascii="新宋体" w:hAnsi="新宋体" w:eastAsia="新宋体" w:cs="新宋体"/>
          <w:sz w:val="24"/>
        </w:rPr>
        <w:t>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045"/>
      <w:r>
        <w:rPr>
          <w:rFonts w:hint="eastAsia"/>
          <w:lang w:val="en-US" w:eastAsia="zh-CN"/>
        </w:rPr>
        <w:t>背景</w:t>
      </w:r>
      <w:bookmarkEnd w:id="2"/>
    </w:p>
    <w:p>
      <w:pPr>
        <w:ind w:firstLine="480" w:firstLineChars="2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作为新版本的试验机管理软件，应继承老版本试验机管理软件的优势与特点，摒弃拙劣的功能与操作。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1819"/>
      <w:r>
        <w:rPr>
          <w:rFonts w:hint="eastAsia"/>
          <w:lang w:val="en-US" w:eastAsia="zh-CN"/>
        </w:rPr>
        <w:t>定义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22081"/>
      <w:r>
        <w:rPr>
          <w:rFonts w:hint="eastAsia"/>
          <w:lang w:val="en-US" w:eastAsia="zh-CN"/>
        </w:rPr>
        <w:t>总体设计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6377"/>
      <w:r>
        <w:rPr>
          <w:rFonts w:hint="eastAsia"/>
          <w:lang w:val="en-US" w:eastAsia="zh-CN"/>
        </w:rPr>
        <w:t>需求调研</w:t>
      </w:r>
      <w:bookmarkEnd w:id="5"/>
    </w:p>
    <w:p>
      <w:pPr>
        <w:numPr>
          <w:ilvl w:val="0"/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TestPilot2.2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样品和试样没做区分设置：只对试样进行了编辑，没有样品编辑界面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3040" cy="60585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Instron Bluehill 3 单独针对样品设置了一个模块，编辑一批样品通用数据。可以供报告使用，在选择输入中还可以关联其他数据设置默认值，在测试的时候可以直接选择多套默认设置。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1610" cy="1905635"/>
            <wp:effectExtent l="0" t="0" r="15240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4150" cy="2043430"/>
            <wp:effectExtent l="0" t="0" r="1270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zwick老版本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通过设置试样参数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866265"/>
            <wp:effectExtent l="0" t="0" r="825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973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19" w:name="_GoBack"/>
      <w:bookmarkEnd w:id="19"/>
      <w:r>
        <w:drawing>
          <wp:inline distT="0" distB="0" distL="114300" distR="114300">
            <wp:extent cx="5273040" cy="20415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288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9108"/>
      <w:r>
        <w:rPr>
          <w:rFonts w:hint="eastAsia"/>
          <w:lang w:val="en-US" w:eastAsia="zh-CN"/>
        </w:rPr>
        <w:t>需求概述</w:t>
      </w:r>
      <w:bookmarkEnd w:id="6"/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三个软件对比，决定采用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Instron Bluehill 3版本，样品，试样分开设置，既有灵活性，又思路清晰，也会采用</w:t>
      </w:r>
      <w:r>
        <w:rPr>
          <w:rFonts w:ascii="宋体" w:hAnsi="宋体" w:eastAsia="宋体" w:cs="宋体"/>
          <w:sz w:val="24"/>
          <w:szCs w:val="24"/>
        </w:rPr>
        <w:t>zwick老版本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可见即可编辑的思想，右键便捷进入编辑界面。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010"/>
      <w:r>
        <w:rPr>
          <w:rFonts w:hint="eastAsia"/>
          <w:lang w:val="en-US" w:eastAsia="zh-CN"/>
        </w:rPr>
        <w:t>2、模块结构</w:t>
      </w:r>
      <w:bookmarkEnd w:id="7"/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该模块做为设置方法参数的子模块独立存在，主要作用为试验过程中各通道数据的实时显示。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方法参数设置相关传感器参数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方法参数中包含显示面板的参数设置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实时显示参数设置完成后， 即时写入数据库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根据传感器采集速率，应用过虑算法，获得实时显示刷新频率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进行实时显示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57625" cy="44100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1632"/>
      <w:r>
        <w:rPr>
          <w:rFonts w:hint="eastAsia"/>
          <w:lang w:val="en-US" w:eastAsia="zh-CN"/>
        </w:rPr>
        <w:t>三、程序描述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778"/>
      <w:r>
        <w:rPr>
          <w:rFonts w:hint="eastAsia"/>
          <w:lang w:val="en-US" w:eastAsia="zh-CN"/>
        </w:rPr>
        <w:t>1、功能说明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0" w:name="_Toc25335"/>
      <w:r>
        <w:rPr>
          <w:rFonts w:hint="eastAsia"/>
          <w:lang w:val="en-US" w:eastAsia="zh-CN"/>
        </w:rPr>
        <w:t>输入项目</w:t>
      </w:r>
      <w:bookmarkEnd w:id="10"/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传感器数据: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试验过程中，所有已选的传感器值，都将做为实时展示的输入项，其中部分数据需要经过计算后，再进行实时显示。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通道参数: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数据在实时显示前，要对通道各参数进行基本的配置(例如：名称、单位、小数位等)，使得数据更直观，便于用户理解。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步骤的控制模式: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由于实时显示过程中要对步骤中的控制模式给予及时的反馈，应保存控制模式，做为反馈条件。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1" w:name="_Toc4433"/>
      <w:r>
        <w:rPr>
          <w:rFonts w:hint="eastAsia"/>
          <w:lang w:val="en-US" w:eastAsia="zh-CN"/>
        </w:rPr>
        <w:t>输出项目</w:t>
      </w:r>
      <w:bookmarkEnd w:id="11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通道数据: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试验过程中已选通道的数据参数与结果值。由于该值是动态变化、不断增加的，为有效监控，会通过刷新频率算法进行显示。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数据库数据: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参与试验中进行计算的结果值即时保存，写入数据库对应的表字段，同时保存到方法参数.XML文件中。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8515"/>
      <w:r>
        <w:rPr>
          <w:rFonts w:hint="eastAsia"/>
          <w:lang w:val="en-US" w:eastAsia="zh-CN"/>
        </w:rPr>
        <w:t>2、设计说明</w:t>
      </w:r>
      <w:bookmarkEnd w:id="12"/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实时显示面板设计思路主要来源于TestPilot2.2试验机管理软件与instron试验机软件。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实时显示面板的位置可通过界面的布局进行调整，可显示在窗口内容区的上方， 也可显示在下方。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实时显示面板的数量可通过控制台UI进行自行设定，建议二行六列。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控制台区域在屏幕顶部，始终可见。实时显示来自选定测量或选定结果的数据。面板展示大小自适应，白底黑字。实时显示区域鼠标右键点击弹出操作列表，定义</w:t>
      </w:r>
      <w:r>
        <w:rPr>
          <w:rFonts w:hint="eastAsia" w:ascii="新宋体" w:hAnsi="新宋体" w:eastAsia="新宋体" w:cs="新宋体"/>
          <w:color w:val="000000"/>
          <w:sz w:val="24"/>
          <w:szCs w:val="24"/>
        </w:rPr>
        <w:t>Collections.LiveDisplayGaugeItemInfos</w:t>
      </w:r>
      <w:r>
        <w:rPr>
          <w:rFonts w:hint="eastAsia" w:ascii="新宋体" w:hAnsi="新宋体" w:eastAsia="新宋体" w:cs="新宋体"/>
          <w:color w:val="000000"/>
          <w:sz w:val="24"/>
          <w:szCs w:val="24"/>
          <w:lang w:val="en-US" w:eastAsia="zh-CN"/>
        </w:rPr>
        <w:t>全局的集合。前端界面绑定这个全局集合， 编辑测量编辑这个全局集合即可影响展示的个数和内容。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3" w:name="_Toc6095"/>
      <w:r>
        <w:rPr>
          <w:rFonts w:hint="eastAsia"/>
          <w:lang w:val="en-US" w:eastAsia="zh-CN"/>
        </w:rPr>
        <w:t>程序逻辑</w:t>
      </w:r>
      <w:bookmarkEnd w:id="13"/>
    </w:p>
    <w:p>
      <w:pPr>
        <w:rPr>
          <w:rFonts w:hint="default" w:eastAsia="新宋体"/>
          <w:lang w:val="en-US" w:eastAsia="zh-CN"/>
        </w:rPr>
      </w:pPr>
      <w:r>
        <w:drawing>
          <wp:inline distT="0" distB="0" distL="114300" distR="114300">
            <wp:extent cx="4667250" cy="39052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4" w:name="_Toc23490"/>
      <w:r>
        <w:rPr>
          <w:rFonts w:hint="eastAsia"/>
          <w:lang w:val="en-US" w:eastAsia="zh-CN"/>
        </w:rPr>
        <w:t>数据库存储</w:t>
      </w:r>
      <w:bookmarkEnd w:id="14"/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5" w:name="_Toc2279"/>
      <w:r>
        <w:rPr>
          <w:rFonts w:hint="eastAsia"/>
          <w:lang w:val="en-US" w:eastAsia="zh-CN"/>
        </w:rPr>
        <w:t>接口</w:t>
      </w:r>
      <w:bookmarkEnd w:id="15"/>
    </w:p>
    <w:tbl>
      <w:tblPr>
        <w:tblStyle w:val="9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1549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54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6" w:name="_Toc9711"/>
      <w:r>
        <w:rPr>
          <w:rFonts w:hint="eastAsia"/>
          <w:lang w:val="en-US" w:eastAsia="zh-CN"/>
        </w:rPr>
        <w:t>属性</w:t>
      </w:r>
      <w:bookmarkEnd w:id="16"/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7" w:name="_Toc29469"/>
      <w:r>
        <w:rPr>
          <w:rFonts w:hint="eastAsia"/>
          <w:lang w:val="en-US" w:eastAsia="zh-CN"/>
        </w:rPr>
        <w:t>事件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673"/>
      <w:r>
        <w:rPr>
          <w:rFonts w:hint="eastAsia"/>
          <w:lang w:val="en-US" w:eastAsia="zh-CN"/>
        </w:rPr>
        <w:t>3、测试说明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依据测试大纲进行单独测试。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7B4F1"/>
    <w:multiLevelType w:val="singleLevel"/>
    <w:tmpl w:val="C657B4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2728611"/>
    <w:multiLevelType w:val="singleLevel"/>
    <w:tmpl w:val="027286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27D175F"/>
    <w:multiLevelType w:val="singleLevel"/>
    <w:tmpl w:val="427D17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CB842C4"/>
    <w:multiLevelType w:val="singleLevel"/>
    <w:tmpl w:val="4CB84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DA40A5D"/>
    <w:multiLevelType w:val="singleLevel"/>
    <w:tmpl w:val="4DA40A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DC5F475"/>
    <w:multiLevelType w:val="singleLevel"/>
    <w:tmpl w:val="4DC5F4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iMTBkMGI1OWNmMGQ4NjJiYTA0NzBkODQwMTExOTAifQ=="/>
  </w:docVars>
  <w:rsids>
    <w:rsidRoot w:val="00172A27"/>
    <w:rsid w:val="00100378"/>
    <w:rsid w:val="01114787"/>
    <w:rsid w:val="01977CE3"/>
    <w:rsid w:val="01B6423F"/>
    <w:rsid w:val="01D343B6"/>
    <w:rsid w:val="01EB2CBE"/>
    <w:rsid w:val="02257D8C"/>
    <w:rsid w:val="040B0C0B"/>
    <w:rsid w:val="05FB5B05"/>
    <w:rsid w:val="0A1A041E"/>
    <w:rsid w:val="0A7A4060"/>
    <w:rsid w:val="0AFB05A8"/>
    <w:rsid w:val="0C2B2FE5"/>
    <w:rsid w:val="0C3D0CE9"/>
    <w:rsid w:val="0C73495F"/>
    <w:rsid w:val="0D350099"/>
    <w:rsid w:val="0EA624AF"/>
    <w:rsid w:val="13C276A4"/>
    <w:rsid w:val="15A03BE3"/>
    <w:rsid w:val="1669594F"/>
    <w:rsid w:val="1C1357D3"/>
    <w:rsid w:val="1ECC08B2"/>
    <w:rsid w:val="207C0310"/>
    <w:rsid w:val="22194DAC"/>
    <w:rsid w:val="223D3D50"/>
    <w:rsid w:val="23D61F2B"/>
    <w:rsid w:val="248606F3"/>
    <w:rsid w:val="24C51C74"/>
    <w:rsid w:val="26064593"/>
    <w:rsid w:val="27E73279"/>
    <w:rsid w:val="2804330F"/>
    <w:rsid w:val="285B1751"/>
    <w:rsid w:val="28884063"/>
    <w:rsid w:val="2AB654D9"/>
    <w:rsid w:val="2C1D668F"/>
    <w:rsid w:val="2D0C4BDB"/>
    <w:rsid w:val="2D4273E9"/>
    <w:rsid w:val="2DDF4CDC"/>
    <w:rsid w:val="2E3B5913"/>
    <w:rsid w:val="3046078C"/>
    <w:rsid w:val="35A24B9E"/>
    <w:rsid w:val="3C7A0581"/>
    <w:rsid w:val="3D3978CB"/>
    <w:rsid w:val="3E1F4BB5"/>
    <w:rsid w:val="40A76EE1"/>
    <w:rsid w:val="41573E4F"/>
    <w:rsid w:val="41C36348"/>
    <w:rsid w:val="424D3E34"/>
    <w:rsid w:val="42815953"/>
    <w:rsid w:val="42A3136A"/>
    <w:rsid w:val="42FF2758"/>
    <w:rsid w:val="44947E37"/>
    <w:rsid w:val="44ED5522"/>
    <w:rsid w:val="48302F83"/>
    <w:rsid w:val="484237C1"/>
    <w:rsid w:val="4B1F1A9E"/>
    <w:rsid w:val="4C7327B1"/>
    <w:rsid w:val="4CED775C"/>
    <w:rsid w:val="4DE159E1"/>
    <w:rsid w:val="505954B0"/>
    <w:rsid w:val="51144B92"/>
    <w:rsid w:val="51B3364F"/>
    <w:rsid w:val="5377145E"/>
    <w:rsid w:val="57BF45B5"/>
    <w:rsid w:val="5B2D734D"/>
    <w:rsid w:val="5B4F06C3"/>
    <w:rsid w:val="5FA10404"/>
    <w:rsid w:val="608D341E"/>
    <w:rsid w:val="62B40FD5"/>
    <w:rsid w:val="62BC7E8A"/>
    <w:rsid w:val="65566FD7"/>
    <w:rsid w:val="66024149"/>
    <w:rsid w:val="661C56E1"/>
    <w:rsid w:val="66B77619"/>
    <w:rsid w:val="682B7D75"/>
    <w:rsid w:val="68D140BF"/>
    <w:rsid w:val="6B6D6999"/>
    <w:rsid w:val="6D6F2A5F"/>
    <w:rsid w:val="6E980103"/>
    <w:rsid w:val="709F6D0B"/>
    <w:rsid w:val="76DA32A9"/>
    <w:rsid w:val="76F675FA"/>
    <w:rsid w:val="78C3748C"/>
    <w:rsid w:val="78E14D5D"/>
    <w:rsid w:val="79A348A6"/>
    <w:rsid w:val="7F4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FollowedHyperlink"/>
    <w:basedOn w:val="10"/>
    <w:qFormat/>
    <w:uiPriority w:val="0"/>
    <w:rPr>
      <w:color w:val="0000FF"/>
      <w:u w:val="single"/>
    </w:rPr>
  </w:style>
  <w:style w:type="character" w:styleId="13">
    <w:name w:val="Emphasis"/>
    <w:basedOn w:val="10"/>
    <w:qFormat/>
    <w:uiPriority w:val="0"/>
    <w:rPr>
      <w:i/>
      <w:iCs/>
    </w:rPr>
  </w:style>
  <w:style w:type="character" w:styleId="14">
    <w:name w:val="Hyperlink"/>
    <w:basedOn w:val="10"/>
    <w:qFormat/>
    <w:uiPriority w:val="0"/>
    <w:rPr>
      <w:color w:val="000080"/>
    </w:rPr>
  </w:style>
  <w:style w:type="character" w:customStyle="1" w:styleId="15">
    <w:name w:val="标题 1 Char"/>
    <w:link w:val="2"/>
    <w:qFormat/>
    <w:uiPriority w:val="0"/>
    <w:rPr>
      <w:rFonts w:eastAsia="楷体" w:asciiTheme="minorAscii" w:hAnsiTheme="minorAscii"/>
      <w:b/>
      <w:kern w:val="44"/>
      <w:sz w:val="36"/>
    </w:rPr>
  </w:style>
  <w:style w:type="character" w:customStyle="1" w:styleId="16">
    <w:name w:val="stepnumber"/>
    <w:basedOn w:val="10"/>
    <w:qFormat/>
    <w:uiPriority w:val="0"/>
  </w:style>
  <w:style w:type="character" w:customStyle="1" w:styleId="17">
    <w:name w:val="superscript"/>
    <w:basedOn w:val="10"/>
    <w:qFormat/>
    <w:uiPriority w:val="0"/>
    <w:rPr>
      <w:sz w:val="15"/>
      <w:szCs w:val="15"/>
      <w:vertAlign w:val="superscript"/>
    </w:rPr>
  </w:style>
  <w:style w:type="paragraph" w:customStyle="1" w:styleId="18">
    <w:name w:val="body"/>
    <w:basedOn w:val="1"/>
    <w:qFormat/>
    <w:uiPriority w:val="0"/>
    <w:pPr>
      <w:spacing w:before="160" w:beforeAutospacing="0" w:after="160" w:afterAutospacing="0"/>
      <w:ind w:left="24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character" w:customStyle="1" w:styleId="19">
    <w:name w:val="subscript"/>
    <w:basedOn w:val="10"/>
    <w:qFormat/>
    <w:uiPriority w:val="0"/>
    <w:rPr>
      <w:vertAlign w:val="subscript"/>
    </w:rPr>
  </w:style>
  <w:style w:type="character" w:customStyle="1" w:styleId="20">
    <w:name w:val="bold"/>
    <w:basedOn w:val="10"/>
    <w:qFormat/>
    <w:uiPriority w:val="0"/>
    <w:rPr>
      <w:b/>
      <w:bCs/>
    </w:rPr>
  </w:style>
  <w:style w:type="character" w:customStyle="1" w:styleId="21">
    <w:name w:val="expandtext"/>
    <w:basedOn w:val="10"/>
    <w:qFormat/>
    <w:uiPriority w:val="0"/>
    <w:rPr>
      <w:i/>
      <w:iCs/>
      <w:color w:val="FF0000"/>
    </w:rPr>
  </w:style>
  <w:style w:type="character" w:customStyle="1" w:styleId="22">
    <w:name w:val="reltopicsbullet1"/>
    <w:basedOn w:val="10"/>
    <w:qFormat/>
    <w:uiPriority w:val="0"/>
    <w:rPr>
      <w:u w:val="none"/>
    </w:rPr>
  </w:style>
  <w:style w:type="character" w:customStyle="1" w:styleId="23">
    <w:name w:val="hardwareindicator"/>
    <w:basedOn w:val="10"/>
    <w:qFormat/>
    <w:uiPriority w:val="0"/>
    <w:rPr>
      <w:b/>
      <w:bCs/>
      <w:caps/>
    </w:rPr>
  </w:style>
  <w:style w:type="character" w:customStyle="1" w:styleId="24">
    <w:name w:val="computerinputtext"/>
    <w:basedOn w:val="10"/>
    <w:qFormat/>
    <w:uiPriority w:val="0"/>
    <w:rPr>
      <w:rFonts w:ascii="Courier New" w:hAnsi="Courier New" w:cs="Courier New"/>
    </w:rPr>
  </w:style>
  <w:style w:type="character" w:customStyle="1" w:styleId="25">
    <w:name w:val="emphasis_wbold"/>
    <w:basedOn w:val="10"/>
    <w:qFormat/>
    <w:uiPriority w:val="0"/>
    <w:rPr>
      <w:b/>
      <w:bCs/>
      <w:i/>
      <w:iCs/>
    </w:rPr>
  </w:style>
  <w:style w:type="character" w:customStyle="1" w:styleId="26">
    <w:name w:val="symbol"/>
    <w:basedOn w:val="10"/>
    <w:qFormat/>
    <w:uiPriority w:val="0"/>
    <w:rPr>
      <w:rFonts w:ascii="Symbol" w:hAnsi="Symbol" w:cs="Symbol"/>
    </w:rPr>
  </w:style>
  <w:style w:type="character" w:customStyle="1" w:styleId="27">
    <w:name w:val="toppagejump"/>
    <w:basedOn w:val="10"/>
    <w:qFormat/>
    <w:uiPriority w:val="0"/>
    <w:rPr>
      <w:rFonts w:ascii="Wingdings 3" w:hAnsi="Wingdings 3" w:eastAsia="Wingdings 3" w:cs="Wingdings 3"/>
      <w:b/>
      <w:bCs/>
      <w:color w:val="0000FF"/>
      <w:sz w:val="28"/>
      <w:szCs w:val="28"/>
    </w:rPr>
  </w:style>
  <w:style w:type="character" w:customStyle="1" w:styleId="28">
    <w:name w:val="bulletsymbol"/>
    <w:basedOn w:val="10"/>
    <w:qFormat/>
    <w:uiPriority w:val="0"/>
    <w:rPr>
      <w:b/>
      <w:bCs/>
    </w:rPr>
  </w:style>
  <w:style w:type="character" w:customStyle="1" w:styleId="29">
    <w:name w:val="underline"/>
    <w:basedOn w:val="10"/>
    <w:qFormat/>
    <w:uiPriority w:val="0"/>
    <w:rPr>
      <w:u w:val="single"/>
    </w:rPr>
  </w:style>
  <w:style w:type="character" w:customStyle="1" w:styleId="30">
    <w:name w:val="callout1"/>
    <w:basedOn w:val="10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1249</Words>
  <Characters>1375</Characters>
  <Lines>0</Lines>
  <Paragraphs>0</Paragraphs>
  <TotalTime>14</TotalTime>
  <ScaleCrop>false</ScaleCrop>
  <LinksUpToDate>false</LinksUpToDate>
  <CharactersWithSpaces>1559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2022-08-15T00:05:00Z</dcterms:created>
  <dc:creator>万里</dc:creator>
  <cp:lastModifiedBy>坚果</cp:lastModifiedBy>
  <dcterms:modified xsi:type="dcterms:W3CDTF">2022-09-14T09:30:40Z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C49FF537277B4992A9AE986833C42681</vt:lpwstr>
  </property>
</Properties>
</file>